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Среднемесячная номинальная начисленная </w:t>
      </w:r>
    </w:p>
    <w:p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заработная плата работников, </w:t>
      </w:r>
      <w:r>
        <w:rPr>
          <w:sz w:val="28"/>
          <w:szCs w:val="28"/>
        </w:rPr>
        <w:t>рублей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60"/>
        <w:gridCol w:w="1260"/>
        <w:gridCol w:w="1260"/>
        <w:gridCol w:w="1260"/>
        <w:gridCol w:w="1260"/>
        <w:gridCol w:w="1260"/>
        <w:gridCol w:w="1260"/>
        <w:gridCol w:w="1298"/>
        <w:gridCol w:w="1222"/>
        <w:gridCol w:w="1188"/>
      </w:tblGrid>
      <w:tr>
        <w:tc>
          <w:tcPr>
            <w:tcW w:w="2640" w:type="dxa"/>
            <w:vMerge w:val="restart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 w:val="0"/>
              <w:spacing w:before="120" w:after="120"/>
              <w:ind w:left="-57" w:right="-57"/>
              <w:jc w:val="center"/>
            </w:pPr>
            <w:r>
              <w:t xml:space="preserve">крупных и средних предприятий и некоммерческих организаций 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before="120" w:after="120"/>
              <w:ind w:left="-57" w:right="-57"/>
              <w:jc w:val="center"/>
            </w:pPr>
            <w:r>
              <w:t>муниципальных дошкольных образовательных учреждений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before="120" w:after="120"/>
              <w:ind w:left="-57" w:right="-57"/>
              <w:jc w:val="center"/>
            </w:pPr>
            <w:r>
              <w:t>муниципальных общеобразовательных учреждений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before="120" w:after="120"/>
              <w:ind w:left="-57" w:right="-57"/>
              <w:jc w:val="center"/>
            </w:pPr>
            <w:r>
              <w:t>муниципальных учреждений культуры и искусства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before="120" w:after="120"/>
              <w:ind w:left="-57" w:right="-57"/>
              <w:jc w:val="center"/>
            </w:pPr>
            <w:r>
              <w:t xml:space="preserve">муниципальных учреждений физической </w:t>
            </w:r>
            <w:r>
              <w:br/>
              <w:t>культуры и спорта</w:t>
            </w:r>
          </w:p>
        </w:tc>
      </w:tr>
      <w:tr>
        <w:trPr>
          <w:trHeight w:val="405"/>
        </w:trPr>
        <w:tc>
          <w:tcPr>
            <w:tcW w:w="2640" w:type="dxa"/>
            <w:vMerge/>
          </w:tcPr>
          <w:p>
            <w:pPr>
              <w:spacing w:before="120" w:line="200" w:lineRule="exact"/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23</w:t>
            </w:r>
            <w:r>
              <w:t xml:space="preserve"> г.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23</w:t>
            </w:r>
            <w:r>
              <w:t xml:space="preserve"> г.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23</w:t>
            </w:r>
            <w:r>
              <w:t xml:space="preserve"> г.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1298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23</w:t>
            </w:r>
            <w:r>
              <w:t xml:space="preserve"> г.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spacing w:before="120" w:after="120" w:line="200" w:lineRule="exact"/>
              <w:jc w:val="center"/>
            </w:pPr>
            <w:r>
              <w:t>20</w:t>
            </w:r>
            <w:r>
              <w:rPr>
                <w:lang w:val="en-US"/>
              </w:rPr>
              <w:t>23</w:t>
            </w:r>
            <w:r>
              <w:t xml:space="preserve"> г.</w:t>
            </w:r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r>
              <w:t>Город Магадан</w:t>
            </w:r>
          </w:p>
        </w:tc>
        <w:tc>
          <w:tcPr>
            <w:tcW w:w="1260" w:type="dxa"/>
            <w:vAlign w:val="center"/>
          </w:tcPr>
          <w:p>
            <w:pPr>
              <w:ind w:left="-54" w:right="-51"/>
              <w:jc w:val="center"/>
            </w:pPr>
            <w:r>
              <w:t>122229,2</w:t>
            </w:r>
          </w:p>
        </w:tc>
        <w:tc>
          <w:tcPr>
            <w:tcW w:w="1260" w:type="dxa"/>
            <w:vAlign w:val="center"/>
          </w:tcPr>
          <w:p>
            <w:pPr>
              <w:ind w:left="-54" w:right="-51"/>
              <w:jc w:val="center"/>
            </w:pPr>
            <w:r>
              <w:t>135145,6</w:t>
            </w:r>
          </w:p>
        </w:tc>
        <w:tc>
          <w:tcPr>
            <w:tcW w:w="1260" w:type="dxa"/>
            <w:vAlign w:val="center"/>
          </w:tcPr>
          <w:p>
            <w:pPr>
              <w:ind w:left="-54" w:right="-51"/>
              <w:jc w:val="center"/>
            </w:pPr>
            <w:r>
              <w:t>71409,7</w:t>
            </w:r>
          </w:p>
        </w:tc>
        <w:tc>
          <w:tcPr>
            <w:tcW w:w="1260" w:type="dxa"/>
            <w:vAlign w:val="center"/>
          </w:tcPr>
          <w:p>
            <w:pPr>
              <w:ind w:left="-54" w:right="-51"/>
              <w:jc w:val="center"/>
            </w:pPr>
            <w:r>
              <w:t>80604,4</w:t>
            </w:r>
          </w:p>
        </w:tc>
        <w:tc>
          <w:tcPr>
            <w:tcW w:w="1260" w:type="dxa"/>
            <w:vAlign w:val="center"/>
          </w:tcPr>
          <w:p>
            <w:pPr>
              <w:ind w:left="-54" w:right="-51"/>
              <w:jc w:val="center"/>
            </w:pPr>
            <w:r>
              <w:t>95417,2</w:t>
            </w:r>
          </w:p>
        </w:tc>
        <w:tc>
          <w:tcPr>
            <w:tcW w:w="1260" w:type="dxa"/>
            <w:vAlign w:val="center"/>
          </w:tcPr>
          <w:p>
            <w:pPr>
              <w:ind w:left="-54" w:right="-51"/>
              <w:jc w:val="center"/>
            </w:pPr>
            <w:r>
              <w:t>104680,1</w:t>
            </w:r>
          </w:p>
        </w:tc>
        <w:tc>
          <w:tcPr>
            <w:tcW w:w="1260" w:type="dxa"/>
            <w:vAlign w:val="center"/>
          </w:tcPr>
          <w:p>
            <w:pPr>
              <w:ind w:left="-54" w:right="-51"/>
              <w:jc w:val="center"/>
            </w:pPr>
            <w:r>
              <w:t>113096,8</w:t>
            </w:r>
          </w:p>
        </w:tc>
        <w:tc>
          <w:tcPr>
            <w:tcW w:w="1298" w:type="dxa"/>
            <w:vAlign w:val="center"/>
          </w:tcPr>
          <w:p>
            <w:pPr>
              <w:ind w:left="-54" w:right="-51"/>
              <w:jc w:val="center"/>
            </w:pPr>
            <w:r>
              <w:t>125011,5</w:t>
            </w:r>
          </w:p>
        </w:tc>
        <w:tc>
          <w:tcPr>
            <w:tcW w:w="1222" w:type="dxa"/>
            <w:vAlign w:val="center"/>
          </w:tcPr>
          <w:p>
            <w:pPr>
              <w:ind w:left="-54" w:right="-51"/>
              <w:jc w:val="center"/>
            </w:pPr>
            <w:r>
              <w:t>62128,2</w:t>
            </w:r>
          </w:p>
        </w:tc>
        <w:tc>
          <w:tcPr>
            <w:tcW w:w="1188" w:type="dxa"/>
            <w:vAlign w:val="center"/>
          </w:tcPr>
          <w:p>
            <w:pPr>
              <w:ind w:left="-54" w:right="-51"/>
              <w:jc w:val="center"/>
            </w:pPr>
            <w:r>
              <w:t>63702,1</w:t>
            </w:r>
            <w:bookmarkStart w:id="0" w:name="_GoBack"/>
            <w:bookmarkEnd w:id="0"/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r>
              <w:t xml:space="preserve">Ольский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86751,0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99260,3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67997,4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78459,2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92825,1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97604,6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102879,5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116213,1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75902,2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81558,3</w:t>
            </w:r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r>
              <w:t xml:space="preserve">Омсукчанский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161600,6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171492,2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73649,9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77842,0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94710,5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103449,0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109067,6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120424,1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66133,8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71814,6</w:t>
            </w:r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r>
              <w:t xml:space="preserve">Северо-Эвенский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155075,8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171429,5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78061,5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80369,5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97998,3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101695,0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96338,7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112294,9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53986,1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-</w:t>
            </w:r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r>
              <w:t xml:space="preserve">Среднеканский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122226,7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134394,7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69129,0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84851,9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84939,6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99174,0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102718,7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117725,4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-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87799,3</w:t>
            </w:r>
          </w:p>
        </w:tc>
      </w:tr>
      <w:tr>
        <w:trPr>
          <w:trHeight w:val="400"/>
        </w:trPr>
        <w:tc>
          <w:tcPr>
            <w:tcW w:w="2640" w:type="dxa"/>
          </w:tcPr>
          <w:p>
            <w:pPr>
              <w:spacing w:before="120"/>
            </w:pPr>
            <w:r>
              <w:t xml:space="preserve">Сусуманский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145161,1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160517,1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78250,7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84349,9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101098,2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106784,4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107561,2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120802,1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77824,1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105569,8</w:t>
            </w:r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140333,7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151190,9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62942,0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75502,0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85199,5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101314,2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100703,0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102714,5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-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-</w:t>
            </w:r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r>
              <w:t xml:space="preserve">Хасынский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94380,7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110002,5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66801,3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77712,2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82711,6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101531,7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98794,2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111634,0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73558,4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74797,4</w:t>
            </w:r>
          </w:p>
        </w:tc>
      </w:tr>
      <w:tr>
        <w:trPr>
          <w:trHeight w:val="400"/>
        </w:trPr>
        <w:tc>
          <w:tcPr>
            <w:tcW w:w="2640" w:type="dxa"/>
            <w:vAlign w:val="bottom"/>
          </w:tcPr>
          <w:p>
            <w:r>
              <w:t xml:space="preserve">Ягоднинский 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129031,9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148808,2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72501,4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80855,9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75456,2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99985,7</w:t>
            </w:r>
          </w:p>
        </w:tc>
        <w:tc>
          <w:tcPr>
            <w:tcW w:w="1260" w:type="dxa"/>
            <w:vAlign w:val="center"/>
          </w:tcPr>
          <w:p>
            <w:pPr>
              <w:ind w:right="-51"/>
              <w:jc w:val="center"/>
            </w:pPr>
            <w:r>
              <w:t>108515,8</w:t>
            </w:r>
          </w:p>
        </w:tc>
        <w:tc>
          <w:tcPr>
            <w:tcW w:w="1298" w:type="dxa"/>
            <w:vAlign w:val="center"/>
          </w:tcPr>
          <w:p>
            <w:pPr>
              <w:ind w:right="-51"/>
              <w:jc w:val="center"/>
            </w:pPr>
            <w:r>
              <w:t>116417,1</w:t>
            </w:r>
          </w:p>
        </w:tc>
        <w:tc>
          <w:tcPr>
            <w:tcW w:w="1222" w:type="dxa"/>
            <w:vAlign w:val="center"/>
          </w:tcPr>
          <w:p>
            <w:pPr>
              <w:ind w:right="-51"/>
              <w:jc w:val="center"/>
            </w:pPr>
            <w:r>
              <w:t>59432,5</w:t>
            </w:r>
          </w:p>
        </w:tc>
        <w:tc>
          <w:tcPr>
            <w:tcW w:w="1188" w:type="dxa"/>
            <w:vAlign w:val="center"/>
          </w:tcPr>
          <w:p>
            <w:pPr>
              <w:ind w:right="-51"/>
              <w:jc w:val="center"/>
            </w:pPr>
            <w:r>
              <w:t>48009,7</w:t>
            </w:r>
          </w:p>
        </w:tc>
      </w:tr>
    </w:tbl>
    <w:p>
      <w:pPr>
        <w:spacing w:before="240"/>
      </w:pPr>
    </w:p>
    <w:sectPr>
      <w:pgSz w:w="16840" w:h="11907" w:orient="landscape" w:code="9"/>
      <w:pgMar w:top="680" w:right="851" w:bottom="510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номинальная начисленная заработная плата</vt:lpstr>
    </vt:vector>
  </TitlesOfParts>
  <Company>Магаданстат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номинальная начисленная заработная плата</dc:title>
  <dc:creator>GEG</dc:creator>
  <cp:lastModifiedBy>p49_User</cp:lastModifiedBy>
  <cp:revision>18</cp:revision>
  <cp:lastPrinted>2023-03-27T04:22:00Z</cp:lastPrinted>
  <dcterms:created xsi:type="dcterms:W3CDTF">2020-02-07T00:59:00Z</dcterms:created>
  <dcterms:modified xsi:type="dcterms:W3CDTF">2024-03-29T03:22:00Z</dcterms:modified>
</cp:coreProperties>
</file>