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9" w:rsidRDefault="00B43649" w:rsidP="00B43649">
      <w:pPr>
        <w:pStyle w:val="a3"/>
        <w:framePr w:w="9211" w:h="5871" w:wrap="auto" w:vAnchor="page" w:hAnchor="page" w:x="1906" w:y="7126"/>
        <w:spacing w:line="480" w:lineRule="exact"/>
        <w:ind w:left="14" w:right="14"/>
        <w:jc w:val="both"/>
        <w:rPr>
          <w:sz w:val="26"/>
          <w:szCs w:val="26"/>
          <w:lang w:bidi="he-IL"/>
        </w:rPr>
      </w:pPr>
      <w:proofErr w:type="gramStart"/>
      <w:r>
        <w:rPr>
          <w:rFonts w:ascii="Arial" w:hAnsi="Arial" w:cs="Arial"/>
          <w:sz w:val="36"/>
          <w:szCs w:val="36"/>
          <w:lang w:bidi="he-IL"/>
        </w:rPr>
        <w:t xml:space="preserve">в </w:t>
      </w:r>
      <w:r>
        <w:rPr>
          <w:sz w:val="26"/>
          <w:szCs w:val="26"/>
          <w:lang w:bidi="he-IL"/>
        </w:rPr>
        <w:t>соответствии с частью 8 статьи 22 Федерального закона от 27 июля 2004 г. № 79-ФЗ «О государственной гражданской службе Российской Федерации» (далее - Федеральный закон) в состав конкурсной комиссии входят представитель нанимателя и (или) уполномоченные им государственные гражданские служащие Российской Федерации (в том числе из подразделения по вопросам государственной службы и кадров, юридического (правового) подразделения, в котором проводится конкурс на замещение</w:t>
      </w:r>
      <w:proofErr w:type="gramEnd"/>
      <w:r>
        <w:rPr>
          <w:sz w:val="26"/>
          <w:szCs w:val="26"/>
          <w:lang w:bidi="he-IL"/>
        </w:rPr>
        <w:t xml:space="preserve"> </w:t>
      </w:r>
      <w:proofErr w:type="gramStart"/>
      <w:r>
        <w:rPr>
          <w:sz w:val="26"/>
          <w:szCs w:val="26"/>
          <w:lang w:bidi="he-IL"/>
        </w:rPr>
        <w:t xml:space="preserve">вакантной должности государственной гражданской службы Российской Федерации), представитель соответствующего органа по управлению государственной службой, а также представители научных и образовательных учреждений, других организаций, приглашаемые органом по управлению государственной службой по запросу представителя нанимателя в качестве независимых экспертов-специалистов по вопросам, связанным с государственной гражданской службой Российской Федерации (далее - гражданская служба), без указания персональных данных экспертов. </w:t>
      </w:r>
      <w:proofErr w:type="gramEnd"/>
    </w:p>
    <w:p w:rsidR="00B43649" w:rsidRDefault="00B43649" w:rsidP="00B43649">
      <w:pPr>
        <w:pStyle w:val="a3"/>
        <w:framePr w:w="9211" w:h="5871" w:wrap="auto" w:vAnchor="page" w:hAnchor="page" w:x="1906" w:y="7126"/>
        <w:spacing w:line="475" w:lineRule="exact"/>
        <w:ind w:right="14" w:firstLine="686"/>
        <w:jc w:val="both"/>
        <w:rPr>
          <w:sz w:val="26"/>
          <w:szCs w:val="26"/>
          <w:lang w:bidi="he-IL"/>
        </w:rPr>
      </w:pPr>
    </w:p>
    <w:p w:rsidR="00B43649" w:rsidRDefault="00B43649" w:rsidP="00B43649">
      <w:pPr>
        <w:pStyle w:val="a3"/>
        <w:framePr w:w="9058" w:h="1426" w:wrap="auto" w:vAnchor="page" w:hAnchor="page" w:x="2116" w:y="14971"/>
        <w:spacing w:line="244" w:lineRule="exact"/>
        <w:ind w:left="7493"/>
        <w:rPr>
          <w:rFonts w:ascii="Arial" w:hAnsi="Arial" w:cs="Arial"/>
          <w:w w:val="200"/>
          <w:sz w:val="9"/>
          <w:szCs w:val="9"/>
          <w:lang w:bidi="he-IL"/>
        </w:rPr>
      </w:pPr>
      <w:r>
        <w:rPr>
          <w:w w:val="50"/>
          <w:sz w:val="26"/>
          <w:szCs w:val="26"/>
          <w:lang w:bidi="he-IL"/>
        </w:rPr>
        <w:t xml:space="preserve">_ </w:t>
      </w:r>
      <w:r>
        <w:rPr>
          <w:rFonts w:ascii="Arial" w:hAnsi="Arial" w:cs="Arial"/>
          <w:w w:val="200"/>
          <w:sz w:val="9"/>
          <w:szCs w:val="9"/>
          <w:lang w:bidi="he-IL"/>
        </w:rPr>
        <w:t xml:space="preserve">.. </w:t>
      </w:r>
    </w:p>
    <w:p w:rsidR="00B43649" w:rsidRPr="00985FBD" w:rsidRDefault="00B43649" w:rsidP="00B43649">
      <w:pPr>
        <w:pStyle w:val="a3"/>
        <w:framePr w:w="9058" w:h="1426" w:wrap="auto" w:vAnchor="page" w:hAnchor="page" w:x="2116" w:y="14971"/>
        <w:spacing w:line="273" w:lineRule="exact"/>
        <w:ind w:left="6149" w:right="926" w:firstLine="388"/>
        <w:rPr>
          <w:i/>
          <w:w w:val="122"/>
          <w:sz w:val="29"/>
          <w:szCs w:val="29"/>
          <w:lang w:bidi="he-IL"/>
        </w:rPr>
      </w:pPr>
      <w:r w:rsidRPr="00985FBD">
        <w:rPr>
          <w:rFonts w:ascii="Arial" w:hAnsi="Arial" w:cs="Arial"/>
          <w:i/>
          <w:w w:val="120"/>
          <w:sz w:val="25"/>
          <w:szCs w:val="25"/>
          <w:lang w:bidi="he-IL"/>
        </w:rPr>
        <w:t xml:space="preserve">Росстат </w:t>
      </w:r>
      <w:r w:rsidRPr="00985FBD">
        <w:rPr>
          <w:rFonts w:ascii="Arial" w:hAnsi="Arial" w:cs="Arial"/>
          <w:w w:val="135"/>
          <w:sz w:val="17"/>
          <w:szCs w:val="17"/>
          <w:lang w:bidi="he-IL"/>
        </w:rPr>
        <w:t xml:space="preserve">Дата </w:t>
      </w:r>
      <w:r w:rsidRPr="00985FBD">
        <w:rPr>
          <w:iCs/>
          <w:sz w:val="28"/>
          <w:szCs w:val="28"/>
          <w:u w:val="single"/>
          <w:lang w:bidi="he-IL"/>
        </w:rPr>
        <w:t>28.01.15</w:t>
      </w:r>
      <w:r w:rsidRPr="00985FBD">
        <w:rPr>
          <w:i/>
          <w:w w:val="122"/>
          <w:sz w:val="29"/>
          <w:szCs w:val="29"/>
          <w:lang w:bidi="he-IL"/>
        </w:rPr>
        <w:t xml:space="preserve"> </w:t>
      </w:r>
    </w:p>
    <w:p w:rsidR="00B43649" w:rsidRDefault="00B43649" w:rsidP="00B43649">
      <w:pPr>
        <w:pStyle w:val="a3"/>
        <w:framePr w:w="9058" w:h="1426" w:wrap="auto" w:vAnchor="page" w:hAnchor="page" w:x="2116" w:y="14971"/>
        <w:spacing w:line="230" w:lineRule="exact"/>
        <w:ind w:left="6163"/>
        <w:rPr>
          <w:i/>
          <w:iCs/>
          <w:w w:val="87"/>
          <w:sz w:val="32"/>
          <w:szCs w:val="32"/>
          <w:lang w:bidi="he-IL"/>
        </w:rPr>
      </w:pPr>
    </w:p>
    <w:p w:rsidR="00B43649" w:rsidRPr="00985FBD" w:rsidRDefault="00B43649" w:rsidP="00B43649">
      <w:pPr>
        <w:pStyle w:val="a3"/>
        <w:framePr w:w="9058" w:h="1426" w:wrap="auto" w:vAnchor="page" w:hAnchor="page" w:x="2116" w:y="14971"/>
        <w:spacing w:line="230" w:lineRule="exact"/>
        <w:ind w:left="6163"/>
        <w:rPr>
          <w:iCs/>
          <w:w w:val="87"/>
          <w:sz w:val="32"/>
          <w:szCs w:val="32"/>
          <w:u w:val="single"/>
          <w:lang w:bidi="he-IL"/>
        </w:rPr>
      </w:pPr>
      <w:proofErr w:type="spellStart"/>
      <w:r>
        <w:rPr>
          <w:iCs/>
          <w:w w:val="87"/>
          <w:sz w:val="32"/>
          <w:szCs w:val="32"/>
          <w:lang w:bidi="he-IL"/>
        </w:rPr>
        <w:t>Вх</w:t>
      </w:r>
      <w:proofErr w:type="spellEnd"/>
      <w:r>
        <w:rPr>
          <w:iCs/>
          <w:w w:val="87"/>
          <w:sz w:val="32"/>
          <w:szCs w:val="32"/>
          <w:lang w:bidi="he-IL"/>
        </w:rPr>
        <w:t xml:space="preserve"> № </w:t>
      </w:r>
      <w:r w:rsidRPr="00985FBD">
        <w:rPr>
          <w:iCs/>
          <w:w w:val="87"/>
          <w:sz w:val="32"/>
          <w:szCs w:val="32"/>
          <w:u w:val="single"/>
          <w:lang w:bidi="he-IL"/>
        </w:rPr>
        <w:t>262-МВ</w:t>
      </w:r>
    </w:p>
    <w:p w:rsidR="00B43649" w:rsidRDefault="00B43649" w:rsidP="00B43649">
      <w:pPr>
        <w:pStyle w:val="a3"/>
        <w:framePr w:w="4502" w:h="601" w:wrap="auto" w:vAnchor="page" w:hAnchor="margin" w:x="1" w:y="4606"/>
        <w:tabs>
          <w:tab w:val="left" w:leader="underscore" w:pos="2135"/>
          <w:tab w:val="left" w:leader="underscore" w:pos="4333"/>
        </w:tabs>
        <w:spacing w:line="177" w:lineRule="exact"/>
        <w:rPr>
          <w:w w:val="74"/>
          <w:sz w:val="28"/>
          <w:szCs w:val="28"/>
          <w:lang w:bidi="he-IL"/>
        </w:rPr>
      </w:pPr>
    </w:p>
    <w:p w:rsidR="00B43649" w:rsidRDefault="00B43649" w:rsidP="00B43649">
      <w:pPr>
        <w:pStyle w:val="a3"/>
        <w:framePr w:w="4502" w:h="601" w:wrap="auto" w:vAnchor="page" w:hAnchor="margin" w:x="1" w:y="4606"/>
        <w:tabs>
          <w:tab w:val="left" w:leader="underscore" w:pos="2135"/>
          <w:tab w:val="left" w:leader="underscore" w:pos="4333"/>
        </w:tabs>
        <w:spacing w:line="177" w:lineRule="exact"/>
        <w:rPr>
          <w:w w:val="74"/>
          <w:sz w:val="28"/>
          <w:szCs w:val="28"/>
          <w:lang w:bidi="he-IL"/>
        </w:rPr>
      </w:pPr>
    </w:p>
    <w:p w:rsidR="00B43649" w:rsidRDefault="00B43649" w:rsidP="00B43649">
      <w:pPr>
        <w:pStyle w:val="a3"/>
        <w:framePr w:w="4502" w:h="601" w:wrap="auto" w:vAnchor="page" w:hAnchor="margin" w:x="1" w:y="4606"/>
        <w:tabs>
          <w:tab w:val="left" w:leader="underscore" w:pos="2135"/>
          <w:tab w:val="left" w:leader="underscore" w:pos="4333"/>
        </w:tabs>
        <w:spacing w:line="177" w:lineRule="exact"/>
        <w:rPr>
          <w:rFonts w:ascii="Arial" w:hAnsi="Arial" w:cs="Arial"/>
          <w:sz w:val="15"/>
          <w:szCs w:val="15"/>
          <w:lang w:bidi="he-IL"/>
        </w:rPr>
      </w:pPr>
      <w:r>
        <w:rPr>
          <w:w w:val="74"/>
          <w:sz w:val="28"/>
          <w:szCs w:val="28"/>
          <w:lang w:bidi="he-IL"/>
        </w:rPr>
        <w:t xml:space="preserve">На № </w:t>
      </w:r>
      <w:r>
        <w:rPr>
          <w:w w:val="74"/>
          <w:sz w:val="28"/>
          <w:szCs w:val="28"/>
          <w:lang w:bidi="he-IL"/>
        </w:rPr>
        <w:tab/>
      </w:r>
      <w:r>
        <w:rPr>
          <w:rFonts w:ascii="Arial" w:hAnsi="Arial" w:cs="Arial"/>
          <w:sz w:val="15"/>
          <w:szCs w:val="15"/>
          <w:lang w:bidi="he-IL"/>
        </w:rPr>
        <w:t xml:space="preserve">от </w:t>
      </w:r>
      <w:r>
        <w:rPr>
          <w:rFonts w:ascii="Arial" w:hAnsi="Arial" w:cs="Arial"/>
          <w:sz w:val="15"/>
          <w:szCs w:val="15"/>
          <w:lang w:bidi="he-IL"/>
        </w:rPr>
        <w:tab/>
        <w:t xml:space="preserve">_ </w:t>
      </w:r>
    </w:p>
    <w:p w:rsidR="00B43649" w:rsidRDefault="00B43649" w:rsidP="00B43649">
      <w:pPr>
        <w:pStyle w:val="a3"/>
        <w:rPr>
          <w:sz w:val="2"/>
          <w:szCs w:val="2"/>
        </w:rPr>
      </w:pPr>
    </w:p>
    <w:p w:rsidR="00B43649" w:rsidRDefault="00B43649" w:rsidP="00B43649">
      <w:pPr>
        <w:pStyle w:val="a3"/>
        <w:framePr w:w="998" w:h="1171" w:wrap="auto" w:hAnchor="margin" w:x="1719" w:y="-1214"/>
      </w:pPr>
      <w:r>
        <w:rPr>
          <w:noProof/>
        </w:rPr>
        <w:drawing>
          <wp:inline distT="0" distB="0" distL="0" distR="0">
            <wp:extent cx="638175" cy="742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49" w:rsidRDefault="00B43649" w:rsidP="00B43649">
      <w:pPr>
        <w:pStyle w:val="a3"/>
        <w:framePr w:w="268" w:h="15227" w:wrap="auto" w:hAnchor="margin" w:x="-1756" w:y="-734"/>
      </w:pPr>
      <w:r>
        <w:rPr>
          <w:noProof/>
        </w:rPr>
        <w:drawing>
          <wp:inline distT="0" distB="0" distL="0" distR="0">
            <wp:extent cx="171450" cy="9667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49" w:rsidRDefault="00B43649" w:rsidP="00B43649">
      <w:pPr>
        <w:pStyle w:val="a3"/>
        <w:framePr w:w="4296" w:h="1209" w:wrap="auto" w:hAnchor="margin" w:x="92" w:y="1"/>
        <w:spacing w:line="264" w:lineRule="exact"/>
        <w:ind w:left="1056"/>
        <w:rPr>
          <w:sz w:val="25"/>
          <w:szCs w:val="25"/>
        </w:rPr>
      </w:pPr>
      <w:r>
        <w:rPr>
          <w:sz w:val="25"/>
          <w:szCs w:val="25"/>
        </w:rPr>
        <w:t xml:space="preserve">МИНИСТЕРСТВО </w:t>
      </w:r>
    </w:p>
    <w:p w:rsidR="00B43649" w:rsidRDefault="00B43649" w:rsidP="00B43649">
      <w:pPr>
        <w:pStyle w:val="a3"/>
        <w:framePr w:w="4296" w:h="1209" w:wrap="auto" w:hAnchor="margin" w:x="92" w:y="1"/>
        <w:spacing w:before="24" w:line="288" w:lineRule="exact"/>
        <w:jc w:val="center"/>
        <w:rPr>
          <w:sz w:val="22"/>
          <w:szCs w:val="22"/>
          <w:lang w:bidi="he-IL"/>
        </w:rPr>
      </w:pPr>
      <w:r>
        <w:rPr>
          <w:sz w:val="25"/>
          <w:szCs w:val="25"/>
        </w:rPr>
        <w:t xml:space="preserve">ТРУДА И СОЦИАЛЬНОЙ ЗАЩИТЫ РОССИЙСКОЙ ФЕДЕРАЦИИ </w:t>
      </w:r>
      <w:r>
        <w:rPr>
          <w:sz w:val="22"/>
          <w:szCs w:val="22"/>
          <w:lang w:bidi="he-IL"/>
        </w:rPr>
        <w:t xml:space="preserve">(МИНТРУД РОССИИ) </w:t>
      </w:r>
    </w:p>
    <w:p w:rsidR="00B43649" w:rsidRDefault="00B43649" w:rsidP="00B43649">
      <w:pPr>
        <w:pStyle w:val="a3"/>
        <w:framePr w:w="3283" w:h="662" w:wrap="auto" w:hAnchor="margin" w:x="5574" w:y="54"/>
        <w:spacing w:line="316" w:lineRule="exact"/>
        <w:ind w:firstLine="403"/>
        <w:jc w:val="center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Федеральная служба государственной статистики </w:t>
      </w:r>
    </w:p>
    <w:p w:rsidR="00B43649" w:rsidRDefault="00B43649" w:rsidP="00B43649">
      <w:pPr>
        <w:pStyle w:val="a3"/>
        <w:framePr w:w="3541" w:h="700" w:wrap="auto" w:hAnchor="margin" w:x="5569" w:y="1019"/>
        <w:spacing w:line="331" w:lineRule="exact"/>
        <w:ind w:right="33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107450,г. Москва </w:t>
      </w:r>
    </w:p>
    <w:p w:rsidR="00B43649" w:rsidRDefault="00B43649" w:rsidP="00B43649">
      <w:pPr>
        <w:pStyle w:val="a3"/>
        <w:framePr w:w="3541" w:h="700" w:wrap="auto" w:hAnchor="margin" w:x="5569" w:y="1019"/>
        <w:spacing w:line="331" w:lineRule="exact"/>
        <w:ind w:right="33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ул. Мясницкая, д.39,стр. 1 </w:t>
      </w:r>
    </w:p>
    <w:p w:rsidR="00B43649" w:rsidRDefault="00B43649" w:rsidP="00B43649">
      <w:pPr>
        <w:pStyle w:val="a3"/>
        <w:framePr w:w="3648" w:h="1080" w:wrap="auto" w:hAnchor="margin" w:x="428" w:y="1513"/>
        <w:spacing w:line="220" w:lineRule="exact"/>
        <w:ind w:firstLine="134"/>
        <w:jc w:val="center"/>
        <w:rPr>
          <w:sz w:val="17"/>
          <w:szCs w:val="17"/>
          <w:lang w:bidi="he-IL"/>
        </w:rPr>
      </w:pPr>
      <w:r>
        <w:rPr>
          <w:sz w:val="17"/>
          <w:szCs w:val="17"/>
          <w:lang w:bidi="he-IL"/>
        </w:rPr>
        <w:t xml:space="preserve">улица Ильинка, 21, Москва, ГСП-4, 127994 тел.: 8 (495) 606-00-60, факс: 8 (495) 606-18-76 </w:t>
      </w:r>
    </w:p>
    <w:p w:rsidR="00B43649" w:rsidRPr="003112DF" w:rsidRDefault="00B43649" w:rsidP="00B43649">
      <w:pPr>
        <w:pStyle w:val="a3"/>
        <w:framePr w:w="3648" w:h="1080" w:wrap="auto" w:hAnchor="margin" w:x="428" w:y="1513"/>
        <w:tabs>
          <w:tab w:val="left" w:pos="114"/>
          <w:tab w:val="left" w:pos="1708"/>
        </w:tabs>
        <w:rPr>
          <w:i/>
          <w:iCs/>
          <w:w w:val="82"/>
          <w:sz w:val="40"/>
          <w:szCs w:val="40"/>
          <w:u w:val="single"/>
          <w:lang w:bidi="he-IL"/>
        </w:rPr>
      </w:pPr>
      <w:r w:rsidRPr="003112DF">
        <w:rPr>
          <w:w w:val="63"/>
          <w:sz w:val="40"/>
          <w:szCs w:val="40"/>
          <w:u w:val="single"/>
          <w:lang w:bidi="he-IL"/>
        </w:rPr>
        <w:t xml:space="preserve">20 января 2015 </w:t>
      </w:r>
      <w:r w:rsidRPr="003112DF">
        <w:rPr>
          <w:w w:val="63"/>
          <w:sz w:val="40"/>
          <w:szCs w:val="40"/>
          <w:lang w:bidi="he-IL"/>
        </w:rPr>
        <w:t xml:space="preserve"> № </w:t>
      </w:r>
      <w:r w:rsidRPr="003112DF">
        <w:rPr>
          <w:w w:val="63"/>
          <w:sz w:val="40"/>
          <w:szCs w:val="40"/>
          <w:u w:val="single"/>
          <w:lang w:bidi="he-IL"/>
        </w:rPr>
        <w:t xml:space="preserve"> 18-1/В-24</w:t>
      </w:r>
    </w:p>
    <w:p w:rsidR="00B43649" w:rsidRDefault="00B43649" w:rsidP="00B43649">
      <w:pPr>
        <w:pStyle w:val="a3"/>
        <w:framePr w:w="9063" w:h="2280" w:wrap="auto" w:hAnchor="margin" w:x="173" w:y="2881"/>
        <w:spacing w:line="475" w:lineRule="exact"/>
        <w:ind w:right="14" w:firstLine="686"/>
        <w:jc w:val="both"/>
        <w:rPr>
          <w:sz w:val="26"/>
          <w:szCs w:val="26"/>
          <w:lang w:bidi="he-IL"/>
        </w:rPr>
      </w:pPr>
      <w:r>
        <w:rPr>
          <w:rFonts w:ascii="Arial" w:hAnsi="Arial" w:cs="Arial"/>
          <w:w w:val="109"/>
          <w:sz w:val="35"/>
          <w:szCs w:val="35"/>
          <w:lang w:bidi="he-IL"/>
        </w:rPr>
        <w:t xml:space="preserve">в </w:t>
      </w:r>
      <w:r>
        <w:rPr>
          <w:sz w:val="26"/>
          <w:szCs w:val="26"/>
          <w:lang w:bidi="he-IL"/>
        </w:rPr>
        <w:t xml:space="preserve">Департаменте государственной политики в сфере государственной и муниципальной службы, противодействия коррупции Министерства труда и социальной защиты Российской Федерации рассмотрено письмо Федеральной службы государственной статистики от 11 декабря 2014 г. № АК-15-1/3063-МВ. </w:t>
      </w:r>
    </w:p>
    <w:p w:rsidR="00B43649" w:rsidRDefault="00B43649" w:rsidP="00B43649">
      <w:pPr>
        <w:pStyle w:val="a3"/>
        <w:framePr w:w="249" w:h="825" w:wrap="auto" w:hAnchor="margin" w:x="9861" w:y="-2327"/>
        <w:rPr>
          <w:rFonts w:ascii="Arial" w:hAnsi="Arial" w:cs="Arial"/>
          <w:sz w:val="28"/>
          <w:szCs w:val="28"/>
          <w:lang w:bidi="he-IL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19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49" w:rsidRDefault="00B43649" w:rsidP="00B43649">
      <w:pPr>
        <w:pStyle w:val="a3"/>
        <w:framePr w:w="249" w:h="5261" w:wrap="auto" w:hAnchor="margin" w:x="9861" w:y="9232"/>
        <w:rPr>
          <w:rFonts w:ascii="Arial" w:hAnsi="Arial" w:cs="Arial"/>
          <w:sz w:val="28"/>
          <w:szCs w:val="28"/>
          <w:lang w:bidi="he-IL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1925" cy="3343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49" w:rsidRDefault="00B43649" w:rsidP="00B43649">
      <w:pPr>
        <w:pStyle w:val="a3"/>
        <w:framePr w:w="249" w:h="5261" w:wrap="auto" w:hAnchor="margin" w:x="9861" w:y="9232"/>
        <w:rPr>
          <w:rFonts w:ascii="Arial" w:hAnsi="Arial" w:cs="Arial"/>
          <w:sz w:val="28"/>
          <w:szCs w:val="28"/>
          <w:lang w:bidi="he-IL"/>
        </w:rPr>
        <w:sectPr w:rsidR="00B43649">
          <w:pgSz w:w="11900" w:h="16840"/>
          <w:pgMar w:top="2337" w:right="885" w:bottom="360" w:left="1773" w:header="720" w:footer="720" w:gutter="0"/>
          <w:cols w:space="720"/>
          <w:noEndnote/>
        </w:sectPr>
      </w:pPr>
    </w:p>
    <w:p w:rsidR="00B43649" w:rsidRDefault="00B43649" w:rsidP="00B43649">
      <w:pPr>
        <w:pStyle w:val="a3"/>
        <w:rPr>
          <w:rFonts w:ascii="Arial" w:hAnsi="Arial" w:cs="Arial"/>
          <w:sz w:val="2"/>
          <w:szCs w:val="2"/>
          <w:lang w:bidi="he-IL"/>
        </w:rPr>
      </w:pPr>
    </w:p>
    <w:p w:rsidR="00B43649" w:rsidRDefault="00B43649" w:rsidP="00B43649">
      <w:pPr>
        <w:pStyle w:val="a3"/>
        <w:framePr w:w="9034" w:h="292" w:wrap="auto" w:hAnchor="margin" w:x="20" w:y="1"/>
        <w:spacing w:line="292" w:lineRule="exact"/>
        <w:ind w:left="4450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2 </w:t>
      </w:r>
    </w:p>
    <w:p w:rsidR="00B43649" w:rsidRDefault="00B43649" w:rsidP="00B43649">
      <w:pPr>
        <w:pStyle w:val="a3"/>
        <w:framePr w:w="9068" w:h="4262" w:wrap="auto" w:hAnchor="margin" w:x="1" w:y="423"/>
        <w:spacing w:line="480" w:lineRule="exact"/>
        <w:ind w:right="9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Число независимых экспертов должно составлять не менее одной четверти от общего числа членов конкурсной комиссии. </w:t>
      </w:r>
    </w:p>
    <w:p w:rsidR="00B43649" w:rsidRDefault="00B43649" w:rsidP="00B43649">
      <w:pPr>
        <w:pStyle w:val="a3"/>
        <w:framePr w:w="9068" w:h="4262" w:wrap="auto" w:hAnchor="margin" w:x="1" w:y="423"/>
        <w:spacing w:line="494" w:lineRule="exact"/>
        <w:ind w:left="9" w:right="24" w:firstLine="696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Аналогичные требования к формированию состава аттестационной комиссии предусмотрены частью 10  статьи 48 Федерального закона. </w:t>
      </w:r>
    </w:p>
    <w:p w:rsidR="00B43649" w:rsidRDefault="00B43649" w:rsidP="00B43649">
      <w:pPr>
        <w:pStyle w:val="a3"/>
        <w:framePr w:w="9068" w:h="4262" w:wrap="auto" w:hAnchor="margin" w:x="1" w:y="423"/>
        <w:spacing w:line="480" w:lineRule="exact"/>
        <w:ind w:right="9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>Из смысла положений статей 22 и 48 Федерального закона следует, что независимыми экспертами признаются работники научных и образовательных учреждений, других организаций, осуществляющие научную, образовательную или экспертную деятельность по вопросам гражданской службы. При этом государственные гражданские служащие Российской Федерации, выступая в качестве представителей</w:t>
      </w:r>
      <w:r w:rsidRPr="003112DF">
        <w:rPr>
          <w:sz w:val="26"/>
          <w:szCs w:val="26"/>
          <w:lang w:bidi="he-IL"/>
        </w:rPr>
        <w:t xml:space="preserve"> </w:t>
      </w:r>
      <w:r>
        <w:rPr>
          <w:sz w:val="26"/>
          <w:szCs w:val="26"/>
          <w:lang w:bidi="he-IL"/>
        </w:rPr>
        <w:t xml:space="preserve">государственных органов, по нашему мнению, не могут рассматриваться в качестве независимых экспертов. </w:t>
      </w:r>
    </w:p>
    <w:p w:rsidR="00B43649" w:rsidRDefault="00B43649" w:rsidP="00B43649">
      <w:pPr>
        <w:pStyle w:val="a3"/>
        <w:framePr w:w="9068" w:h="4262" w:wrap="auto" w:hAnchor="margin" w:x="1" w:y="423"/>
        <w:spacing w:before="4" w:line="484" w:lineRule="exact"/>
        <w:ind w:left="9" w:right="4" w:firstLine="768"/>
        <w:jc w:val="both"/>
        <w:rPr>
          <w:sz w:val="26"/>
          <w:szCs w:val="26"/>
          <w:lang w:bidi="he-IL"/>
        </w:rPr>
      </w:pPr>
    </w:p>
    <w:p w:rsidR="00B43649" w:rsidRDefault="00B43649" w:rsidP="00B43649">
      <w:pPr>
        <w:pStyle w:val="a3"/>
        <w:framePr w:w="4339" w:h="1334" w:wrap="auto" w:hAnchor="margin" w:x="20" w:y="6568"/>
        <w:spacing w:line="292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Директор Департамента государственной политики в сфере государственной и муниципальной службы, противодействия коррупции </w:t>
      </w:r>
    </w:p>
    <w:p w:rsidR="00B43649" w:rsidRDefault="00B43649" w:rsidP="00B43649">
      <w:pPr>
        <w:pStyle w:val="a3"/>
        <w:framePr w:w="1267" w:h="1363" w:wrap="auto" w:hAnchor="margin" w:x="6035" w:y="6755"/>
        <w:rPr>
          <w:sz w:val="26"/>
          <w:szCs w:val="26"/>
          <w:lang w:bidi="he-IL"/>
        </w:rPr>
      </w:pPr>
      <w:r>
        <w:rPr>
          <w:noProof/>
          <w:sz w:val="26"/>
          <w:szCs w:val="26"/>
        </w:rPr>
        <w:drawing>
          <wp:inline distT="0" distB="0" distL="0" distR="0">
            <wp:extent cx="8001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49" w:rsidRDefault="00B43649" w:rsidP="00B43649">
      <w:pPr>
        <w:pStyle w:val="a3"/>
        <w:framePr w:w="1344" w:h="331" w:wrap="auto" w:hAnchor="margin" w:x="7687" w:y="7576"/>
        <w:spacing w:line="292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Д.В. </w:t>
      </w:r>
      <w:proofErr w:type="spellStart"/>
      <w:r>
        <w:rPr>
          <w:sz w:val="26"/>
          <w:szCs w:val="26"/>
          <w:lang w:bidi="he-IL"/>
        </w:rPr>
        <w:t>Баснак</w:t>
      </w:r>
      <w:proofErr w:type="spellEnd"/>
      <w:r>
        <w:rPr>
          <w:sz w:val="26"/>
          <w:szCs w:val="26"/>
          <w:lang w:bidi="he-IL"/>
        </w:rPr>
        <w:t xml:space="preserve"> </w:t>
      </w:r>
    </w:p>
    <w:p w:rsidR="00B43649" w:rsidRDefault="00B43649" w:rsidP="00B43649">
      <w:pPr>
        <w:pStyle w:val="a3"/>
        <w:framePr w:w="4334" w:h="388" w:wrap="auto" w:hAnchor="margin" w:x="20" w:y="14647"/>
        <w:spacing w:line="172" w:lineRule="exact"/>
        <w:ind w:left="4"/>
        <w:rPr>
          <w:w w:val="89"/>
          <w:sz w:val="16"/>
          <w:szCs w:val="16"/>
          <w:lang w:bidi="he-IL"/>
        </w:rPr>
      </w:pPr>
      <w:r>
        <w:rPr>
          <w:w w:val="89"/>
          <w:sz w:val="16"/>
          <w:szCs w:val="16"/>
          <w:lang w:bidi="he-IL"/>
        </w:rPr>
        <w:t xml:space="preserve">Михайлов В.А. </w:t>
      </w:r>
    </w:p>
    <w:p w:rsidR="00B43649" w:rsidRDefault="00B43649" w:rsidP="00B43649">
      <w:pPr>
        <w:pStyle w:val="a3"/>
        <w:framePr w:w="4334" w:h="388" w:wrap="auto" w:hAnchor="margin" w:x="20" w:y="14647"/>
        <w:spacing w:line="172" w:lineRule="exact"/>
        <w:ind w:left="4"/>
        <w:rPr>
          <w:w w:val="89"/>
          <w:sz w:val="16"/>
          <w:szCs w:val="16"/>
          <w:lang w:bidi="he-IL"/>
        </w:rPr>
      </w:pPr>
      <w:r>
        <w:rPr>
          <w:w w:val="89"/>
          <w:sz w:val="16"/>
          <w:szCs w:val="16"/>
          <w:lang w:bidi="he-IL"/>
        </w:rPr>
        <w:t xml:space="preserve">8 (495) 926-99-01 • 1814 </w:t>
      </w:r>
    </w:p>
    <w:p w:rsidR="00541A25" w:rsidRDefault="00541A25">
      <w:bookmarkStart w:id="0" w:name="_GoBack"/>
      <w:bookmarkEnd w:id="0"/>
    </w:p>
    <w:sectPr w:rsidR="00541A25">
      <w:pgSz w:w="11900" w:h="16840"/>
      <w:pgMar w:top="619" w:right="898" w:bottom="360" w:left="19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49"/>
    <w:rsid w:val="00541A25"/>
    <w:rsid w:val="00B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3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36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>Rosstat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</cp:revision>
  <dcterms:created xsi:type="dcterms:W3CDTF">2015-10-28T15:41:00Z</dcterms:created>
  <dcterms:modified xsi:type="dcterms:W3CDTF">2015-10-28T15:42:00Z</dcterms:modified>
</cp:coreProperties>
</file>