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</w:p>
    <w:p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ЯНВАРЬ-СЕНТЯБРЬ 2024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http://27.</w:t>
        </w:r>
        <w:r>
          <w:rPr>
            <w:rStyle w:val="af4"/>
            <w:rFonts w:ascii="Arial" w:hAnsi="Arial" w:cs="Arial"/>
            <w:lang w:val="en-US"/>
          </w:rPr>
          <w:t>ross</w:t>
        </w:r>
        <w:r>
          <w:rPr>
            <w:rStyle w:val="af4"/>
            <w:rFonts w:ascii="Arial" w:hAnsi="Arial" w:cs="Arial"/>
          </w:rPr>
          <w:t>tat.g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рабочей силе, доходах населения, инвестициях в основной капитал публикуется с ежеквартальной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79212464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9212465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66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67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68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69" w:history="1">
        <w:r>
          <w:rPr>
            <w:rStyle w:val="af4"/>
          </w:rPr>
          <w:t>4. СЕЛЬСКОЕ ХОЗЯЙСТВО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70" w:history="1">
        <w:r>
          <w:rPr>
            <w:rStyle w:val="af4"/>
          </w:rPr>
          <w:t>5.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71" w:history="1">
        <w:r>
          <w:rPr>
            <w:rStyle w:val="af4"/>
          </w:rPr>
          <w:t>6.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9212472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73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74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75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9212476" w:history="1">
        <w:r>
          <w:rPr>
            <w:rStyle w:val="af4"/>
          </w:rPr>
          <w:t>IV.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77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79212478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9212479" w:history="1">
        <w:r>
          <w:rPr>
            <w:rStyle w:val="af4"/>
          </w:rPr>
          <w:t>V.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9212480" w:history="1">
        <w:r>
          <w:rPr>
            <w:rStyle w:val="af4"/>
          </w:rPr>
          <w:t>VI.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9212481" w:history="1">
        <w:r>
          <w:rPr>
            <w:rStyle w:val="af4"/>
          </w:rPr>
          <w:t>VII.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79212482" w:history="1">
        <w:r>
          <w:rPr>
            <w:rStyle w:val="af4"/>
          </w:rPr>
          <w:t>VIII.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_Toc179212482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79212464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 xml:space="preserve">тябрь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 xml:space="preserve">тябрь 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 2024г.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2022г.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4671,9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40564,1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12731,0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123,2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132,2</w:t>
            </w:r>
            <w:r>
              <w:rPr>
                <w:rFonts w:ascii="Arial" w:hAnsi="Arial" w:cs="Arial"/>
                <w:vertAlign w:val="superscript"/>
                <w:lang w:val="en-US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Сентябрь 2024г. к декабрю 2023г.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Сентябрь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79212465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79212466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326"/>
        <w:gridCol w:w="1062"/>
        <w:gridCol w:w="1064"/>
        <w:gridCol w:w="1276"/>
        <w:gridCol w:w="1118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</w:p>
        </w:tc>
        <w:tc>
          <w:tcPr>
            <w:tcW w:w="13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Январь-сентябрь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 2023г.</w:t>
            </w:r>
          </w:p>
        </w:tc>
      </w:tr>
      <w:tr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2024г.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 2023г.</w:t>
            </w: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80442,6</w:t>
            </w:r>
          </w:p>
        </w:tc>
        <w:tc>
          <w:tcPr>
            <w:tcW w:w="5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117,3</w:t>
            </w:r>
          </w:p>
        </w:tc>
        <w:tc>
          <w:tcPr>
            <w:tcW w:w="5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133,8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504349,4</w:t>
            </w:r>
          </w:p>
        </w:tc>
        <w:tc>
          <w:tcPr>
            <w:tcW w:w="6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127,9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719,6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9449,1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56480,4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290504,6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931,7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127,6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6687,7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2287,8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18204,3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1086,7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2968,8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19698,4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</w:t>
            </w:r>
            <w:r>
              <w:rPr>
                <w:rFonts w:ascii="Arial" w:hAnsi="Arial" w:cs="Arial"/>
              </w:rPr>
              <w:br/>
              <w:t>розничная;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12322,9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115362,5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</w:t>
            </w:r>
            <w:r>
              <w:rPr>
                <w:rFonts w:ascii="Arial" w:hAnsi="Arial" w:cs="Arial"/>
              </w:rPr>
              <w:br/>
              <w:t>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2494,4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25204,2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гостиниц </w:t>
            </w:r>
            <w:r>
              <w:rPr>
                <w:rFonts w:ascii="Arial" w:hAnsi="Arial" w:cs="Arial"/>
              </w:rPr>
              <w:br/>
              <w:t>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336,9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3153,0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98,8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3131,0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190,3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1684,6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 xml:space="preserve">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509,3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109,5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3939,6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80,6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279,0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106,2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2251,7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92,3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822,5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498,1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2358,5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культуры, спорта, </w:t>
            </w:r>
            <w:r>
              <w:rPr>
                <w:rFonts w:ascii="Arial" w:hAnsi="Arial" w:cs="Arial"/>
              </w:rPr>
              <w:br/>
              <w:t>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11,5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146,4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21" w:right="7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18,2</w:t>
            </w:r>
          </w:p>
        </w:tc>
        <w:tc>
          <w:tcPr>
            <w:tcW w:w="5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5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0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166,5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111,2</w:t>
            </w:r>
          </w:p>
        </w:tc>
      </w:tr>
    </w:tbl>
    <w:p>
      <w:pPr>
        <w:pStyle w:val="2"/>
        <w:spacing w:before="360" w:after="120"/>
        <w:jc w:val="center"/>
        <w:rPr>
          <w:i w:val="0"/>
        </w:rPr>
      </w:pPr>
      <w:bookmarkStart w:id="10" w:name="_Toc179212467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январе-сентябре 2024г. по сравнению с соответствующим периодом предыдущего года составил 103,8%.</w:t>
      </w:r>
    </w:p>
    <w:p>
      <w:pPr>
        <w:spacing w:before="12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776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1854"/>
        <w:gridCol w:w="1995"/>
      </w:tblGrid>
      <w:tr>
        <w:trPr>
          <w:trHeight w:val="2097"/>
          <w:tblHeader/>
          <w:jc w:val="center"/>
        </w:trPr>
        <w:tc>
          <w:tcPr>
            <w:tcW w:w="287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сентябрю 2023г.</w:t>
            </w:r>
          </w:p>
        </w:tc>
        <w:tc>
          <w:tcPr>
            <w:tcW w:w="11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2023г.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101,5</w:t>
            </w:r>
          </w:p>
        </w:tc>
        <w:tc>
          <w:tcPr>
            <w:tcW w:w="110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86,5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103,4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80,4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пищевых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91,6</w:t>
            </w:r>
          </w:p>
        </w:tc>
      </w:tr>
      <w:tr>
        <w:trPr>
          <w:trHeight w:val="252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>мебели, производство изделий из соломки и материалов для плетения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trHeight w:val="593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86,1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89,1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72,7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200,0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111,3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158,0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427,0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292,7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39,7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2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104,4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98,1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192,3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2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ликвидации загрязнений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89,4</w:t>
            </w:r>
          </w:p>
        </w:tc>
        <w:tc>
          <w:tcPr>
            <w:tcW w:w="11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2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</w:tr>
    </w:tbl>
    <w:p>
      <w:pPr>
        <w:jc w:val="both"/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after="6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076"/>
        <w:gridCol w:w="1245"/>
        <w:gridCol w:w="1247"/>
        <w:gridCol w:w="1247"/>
        <w:gridCol w:w="1245"/>
      </w:tblGrid>
      <w:tr>
        <w:trPr>
          <w:trHeight w:val="592"/>
          <w:tblHeader/>
          <w:jc w:val="center"/>
        </w:trPr>
        <w:tc>
          <w:tcPr>
            <w:tcW w:w="224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</w:p>
        </w:tc>
        <w:tc>
          <w:tcPr>
            <w:tcW w:w="13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</w:p>
        </w:tc>
      </w:tr>
      <w:tr>
        <w:trPr>
          <w:trHeight w:val="1311"/>
          <w:tblHeader/>
          <w:jc w:val="center"/>
        </w:trPr>
        <w:tc>
          <w:tcPr>
            <w:tcW w:w="224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сентябрю 2023г.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08" w:right="-140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2023г.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7168,3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6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38057,4</w:t>
            </w:r>
          </w:p>
        </w:tc>
        <w:tc>
          <w:tcPr>
            <w:tcW w:w="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118,7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3,9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49489,2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254204,4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1532,8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из дерева и пробки, кроме мебели, </w:t>
            </w:r>
            <w:r>
              <w:rPr>
                <w:rFonts w:ascii="Arial" w:hAnsi="Arial" w:cs="Arial"/>
              </w:rPr>
              <w:br/>
              <w:t>производство изделий из соломки и материалов для плетения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 xml:space="preserve">и копирование носителей </w:t>
            </w:r>
            <w:r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>веществ и химических продуктов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151,7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 xml:space="preserve">оборудования,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5,6 р.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585,8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>
        <w:trPr>
          <w:jc w:val="center"/>
        </w:trPr>
        <w:tc>
          <w:tcPr>
            <w:tcW w:w="224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172,2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41,2</w:t>
            </w:r>
          </w:p>
        </w:tc>
        <w:tc>
          <w:tcPr>
            <w:tcW w:w="688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1021,4</w:t>
            </w:r>
          </w:p>
        </w:tc>
        <w:tc>
          <w:tcPr>
            <w:tcW w:w="68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16260,3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1590,4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64,2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11549,3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 xml:space="preserve">распределение пара и горячей воды; кондиционирование </w:t>
            </w:r>
            <w:r>
              <w:rPr>
                <w:rFonts w:ascii="Arial" w:hAnsi="Arial" w:cs="Arial"/>
                <w:iCs/>
              </w:rPr>
              <w:br/>
              <w:t>воздуха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433,9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4711,0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>
        <w:trPr>
          <w:jc w:val="center"/>
        </w:trPr>
        <w:tc>
          <w:tcPr>
            <w:tcW w:w="2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6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141,4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6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1221,0</w:t>
            </w:r>
          </w:p>
        </w:tc>
        <w:tc>
          <w:tcPr>
            <w:tcW w:w="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066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Январь-сентябрь</w:t>
            </w:r>
            <w:r>
              <w:rPr>
                <w:rFonts w:ascii="Arial" w:eastAsia="Arial Unicode MS" w:hAnsi="Arial" w:cs="Arial"/>
                <w:i/>
              </w:rPr>
              <w:br/>
              <w:t>2024г.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январю-сентябрю 2023г.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64221,7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58641,2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3144,5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688,5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2375,2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1676,3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1,5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79212468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январе-сентябре 2024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изводства, выполнено работ и услуг на 9101,6 млн рублей, что на 27,5% ниже уровня соответствующего периода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январе-СЕНТЯБРе 2024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январю-сентябрю 2023г.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57474,3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3675,1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жденная, не являющаяся продукцией </w:t>
            </w:r>
            <w:r>
              <w:rPr>
                <w:rFonts w:ascii="Arial" w:hAnsi="Arial" w:cs="Arial"/>
              </w:rPr>
              <w:br/>
              <w:t>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12302,6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</w:tbl>
    <w:bookmarkEnd w:id="12"/>
    <w:bookmarkEnd w:id="13"/>
    <w:bookmarkEnd w:id="14"/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b/>
          <w:bCs/>
          <w:iCs/>
          <w:sz w:val="28"/>
          <w:szCs w:val="28"/>
        </w:rPr>
      </w:pPr>
      <w:bookmarkStart w:id="15" w:name="_Toc149315970"/>
      <w:r>
        <w:rPr>
          <w:i/>
        </w:rPr>
        <w:br w:type="page"/>
      </w:r>
    </w:p>
    <w:p>
      <w:pPr>
        <w:pStyle w:val="2"/>
        <w:spacing w:after="240"/>
        <w:jc w:val="center"/>
        <w:rPr>
          <w:i w:val="0"/>
          <w:sz w:val="24"/>
          <w:szCs w:val="24"/>
        </w:rPr>
      </w:pPr>
      <w:bookmarkStart w:id="16" w:name="_Toc179212469"/>
      <w:r>
        <w:rPr>
          <w:i w:val="0"/>
        </w:rPr>
        <w:lastRenderedPageBreak/>
        <w:t>4. СЕЛЬСКОЕ ХОЗЯЙСТВО</w:t>
      </w:r>
      <w:bookmarkEnd w:id="15"/>
      <w:bookmarkEnd w:id="16"/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>
        <w:rPr>
          <w:rFonts w:ascii="Arial" w:hAnsi="Arial" w:cs="Arial"/>
        </w:rPr>
        <w:t>В январе-сентябре 2024г. индекс производства сельскохозяйственной продукции в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зяйствах всех сельхозпроизводителей (сельхозорганизации, население, кр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стьянские (фермерские) хозяйства) составил 95,9% к соответствующему п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риоду предыдущего года.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октября 2024г. в хозяйствах всех категорий (сельхозорганизации, население,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зяйства), по расчетам, накопано картофеля 5414 тонн (на 25,7% меньше, чем на соответствующую дату предыдущего года), овощей открытого и закрытого грунта – 3211 тонн (на 0,7% меньше).</w:t>
      </w:r>
    </w:p>
    <w:p>
      <w:pPr>
        <w:pStyle w:val="Arial"/>
        <w:spacing w:before="0" w:after="0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Сельскохозяйственными организациями собрано 634 тонны овощей и 1041 тонна картофеля. По сравнению с аналогичной датой предыдущего года валовой сбор овощей уменьшился на 8,7%, картофеля – на 35,0%.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конец сентября 2024г. поголовье крупного рог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того скота в хозяйствах всех категорий, по расчетам, составило 3,6 тыс. голов (на 6,7% меньше по сравнению с аналогичной датой предыдущего года), из него коров – 1,7 тыс. (на 8,5% меньше), поголовье свиней – 1,6 тыс. (на 25,5% меньше), овец и коз – 0,6 тыс. (на 29,6% больше), птицы – 134,0 тыс. голов (на 2,2% больше).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4,2% поголовья крупного рогатого скота, 16,1% свиней, 37,5% овец и коз (на 1 о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тября 2023г. - соответственно 4,5%, 8,7% и 46,6%).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2024г.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354,6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4150,0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21703,2 тыс. штук.</w:t>
      </w:r>
    </w:p>
    <w:p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3793"/>
        <w:gridCol w:w="2552"/>
        <w:gridCol w:w="2552"/>
      </w:tblGrid>
      <w:tr>
        <w:trPr>
          <w:trHeight w:val="1579"/>
          <w:tblHeader/>
        </w:trPr>
        <w:tc>
          <w:tcPr>
            <w:tcW w:w="213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2024г. </w:t>
            </w:r>
          </w:p>
        </w:tc>
        <w:tc>
          <w:tcPr>
            <w:tcW w:w="1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2024г.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январю-сентябрю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c>
          <w:tcPr>
            <w:tcW w:w="21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4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354,6</w:t>
            </w:r>
          </w:p>
        </w:tc>
        <w:tc>
          <w:tcPr>
            <w:tcW w:w="14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>
        <w:tc>
          <w:tcPr>
            <w:tcW w:w="21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4150,0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</w:tr>
      <w:tr>
        <w:tc>
          <w:tcPr>
            <w:tcW w:w="21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21703,2</w:t>
            </w:r>
          </w:p>
        </w:tc>
        <w:tc>
          <w:tcPr>
            <w:tcW w:w="14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январе-сентябре 2024г. по сравнению с январем-сентябрем 2023г. увеличился удельный вес производства крупного рогатого скота с 43,2% до 45,0%, птицы – с 9,0% до 17,5%; удельный вес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изводства свиней снизился с 45,4% до 35,8%, оленей – с 1,9% до 1,2%.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январем-сентябрем 2024г. отмечен рост производства скота и птицы на убой (в живом весе) на 20,4%, яиц – в 2,3 раза, производства молока снизилось на 11,1%. В хозяйствах населения объем производства скота и птицы на убой (в живом весе) вырос на 4,9%, молока и яиц – снизился на 4,3% и 2,9% соответствено.</w:t>
      </w:r>
    </w:p>
    <w:p>
      <w:pPr>
        <w:pStyle w:val="2"/>
        <w:tabs>
          <w:tab w:val="center" w:pos="4422"/>
          <w:tab w:val="right" w:pos="8844"/>
        </w:tabs>
        <w:spacing w:before="320" w:after="200"/>
        <w:jc w:val="center"/>
        <w:rPr>
          <w:i w:val="0"/>
        </w:rPr>
      </w:pPr>
      <w:bookmarkStart w:id="17" w:name="_Toc179212470"/>
      <w:r>
        <w:rPr>
          <w:i w:val="0"/>
        </w:rPr>
        <w:lastRenderedPageBreak/>
        <w:t>5. СТРОИТЕЛЬСТВО</w:t>
      </w:r>
      <w:bookmarkEnd w:id="17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8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сентябре 2024г. составил </w:t>
      </w:r>
      <w:r>
        <w:rPr>
          <w:rFonts w:ascii="Arial" w:hAnsi="Arial" w:cs="Arial"/>
        </w:rPr>
        <w:t xml:space="preserve">3451,9 </w:t>
      </w:r>
      <w:r>
        <w:rPr>
          <w:rFonts w:ascii="Arial" w:hAnsi="Arial" w:cs="Arial"/>
          <w:kern w:val="24"/>
        </w:rPr>
        <w:t>млн рублей, или 34,2% (в сопоставимых ценах) к сентябрю 2023г., в январе-сентябре 2024г. – 22653,4 млн рублей, или 68,2%.</w:t>
      </w:r>
    </w:p>
    <w:p>
      <w:pPr>
        <w:spacing w:before="20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05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224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  <w:lang w:val="en-US"/>
              </w:rPr>
              <w:t>032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359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4849</w:t>
            </w:r>
            <w:r>
              <w:rPr>
                <w:rFonts w:ascii="Arial" w:hAnsi="Arial" w:cs="Arial"/>
                <w:lang w:val="en-US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16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в 2,7 р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15079,6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3,4 р. 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31221,0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  <w:lang w:val="en-US"/>
              </w:rPr>
              <w:t>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40361,2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в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  <w:lang w:val="en-US"/>
              </w:rPr>
              <w:t>р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6922,9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9370,1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6360,4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22653,4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январе-сентябре 2024г. введено 26 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мов общей площадью 5613 кв. метров, или 91,2% к январю-сентябрю 2023г.  В том числе населением введено 25 домов общей площадью жилых помещ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ний 3711 кв. метров, или 86,5% к январю-сентябрю 2023г. Из них 1267 кв. метров составляет прирост за счет реконструкции и изменения прежних зн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чений в ранее построенных домах.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358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566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5811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191,1 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3,2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9,5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5,4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9" w:name="_Toc179212471"/>
      <w:r>
        <w:rPr>
          <w:i w:val="0"/>
        </w:rPr>
        <w:t>6. АВТОМОБИЛЬНЫЙ ТРАНСПОРТ</w:t>
      </w:r>
      <w:bookmarkEnd w:id="19"/>
    </w:p>
    <w:bookmarkEnd w:id="18"/>
    <w:p>
      <w:pPr>
        <w:spacing w:before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07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сентябрю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январю-сентябрю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119,3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18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267"/>
        <w:gridCol w:w="3566"/>
      </w:tblGrid>
      <w:tr>
        <w:trPr>
          <w:cantSplit/>
          <w:trHeight w:val="975"/>
          <w:tblHeader/>
          <w:jc w:val="center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187,3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165,7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415,9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2024г.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48,4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>
        <w:trPr>
          <w:trHeight w:val="46"/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</w:tr>
    </w:tbl>
    <w:p>
      <w:pPr>
        <w:ind w:firstLine="720"/>
        <w:jc w:val="both"/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>
        <w:trPr>
          <w:trHeight w:val="1115"/>
          <w:tblHeader/>
          <w:jc w:val="center"/>
        </w:trPr>
        <w:tc>
          <w:tcPr>
            <w:tcW w:w="186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сентябрю 2023г.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</w:p>
        </w:tc>
        <w:tc>
          <w:tcPr>
            <w:tcW w:w="78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2023г.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917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>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107,5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</w:tr>
    </w:tbl>
    <w:p>
      <w:pPr>
        <w:rPr>
          <w:rFonts w:ascii="Arial" w:hAnsi="Arial" w:cs="Arial"/>
          <w:b/>
          <w:bCs/>
          <w:kern w:val="32"/>
          <w:sz w:val="16"/>
          <w:szCs w:val="16"/>
        </w:rPr>
      </w:pPr>
      <w: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179212472"/>
      <w:r>
        <w:rPr>
          <w:lang w:val="en-US"/>
        </w:rPr>
        <w:lastRenderedPageBreak/>
        <w:t>III</w:t>
      </w:r>
      <w:r>
        <w:t>. РЫНКИ ТОВАРОВ И УСЛУГ</w:t>
      </w:r>
      <w:bookmarkEnd w:id="20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21" w:name="_Toc179212473"/>
      <w:bookmarkStart w:id="22" w:name="_Toc347145697"/>
      <w:r>
        <w:rPr>
          <w:i w:val="0"/>
          <w:color w:val="000000" w:themeColor="text1"/>
        </w:rPr>
        <w:t>1. РОЗНИЧНАЯ ТОРГОВЛЯ</w:t>
      </w:r>
      <w:bookmarkEnd w:id="21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сентябре 2024г. составил 4671,9 </w:t>
      </w:r>
      <w:r>
        <w:rPr>
          <w:rFonts w:ascii="Arial" w:hAnsi="Arial" w:cs="Arial"/>
          <w:kern w:val="24"/>
        </w:rPr>
        <w:t xml:space="preserve">млн рублей, или 103,5%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январе-сентябре 2024г. – 40564,1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105,7%.</w:t>
      </w:r>
    </w:p>
    <w:p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7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35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11458,7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23247,9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4246,4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12560,5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35808,4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4169,1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4652,0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48751,3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6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13087,7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4486,1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4575,3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13451,4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26539,1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14025,0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40564,1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rPr>
          <w:rFonts w:ascii="Arial" w:hAnsi="Arial" w:cs="Arial"/>
          <w:kern w:val="24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t>В январе-сентябре 2024г. оборот розничной торговли на 99,94% фо</w:t>
      </w:r>
      <w:r>
        <w:rPr>
          <w:rFonts w:ascii="Arial" w:hAnsi="Arial" w:cs="Arial"/>
          <w:kern w:val="24"/>
        </w:rPr>
        <w:t>р</w:t>
      </w:r>
      <w:r>
        <w:rPr>
          <w:rFonts w:ascii="Arial" w:hAnsi="Arial" w:cs="Arial"/>
          <w:kern w:val="24"/>
        </w:rPr>
        <w:t xml:space="preserve">мировался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</w:t>
      </w:r>
      <w:r>
        <w:rPr>
          <w:rFonts w:ascii="Arial" w:hAnsi="Arial" w:cs="Arial"/>
          <w:b/>
          <w:kern w:val="24"/>
        </w:rPr>
        <w:t>и</w:t>
      </w:r>
      <w:r>
        <w:rPr>
          <w:rFonts w:ascii="Arial" w:hAnsi="Arial" w:cs="Arial"/>
          <w:b/>
          <w:kern w:val="24"/>
        </w:rPr>
        <w:t>мателями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0,06%.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086"/>
        <w:gridCol w:w="1493"/>
        <w:gridCol w:w="1495"/>
        <w:gridCol w:w="1493"/>
        <w:gridCol w:w="1493"/>
      </w:tblGrid>
      <w:tr>
        <w:trPr>
          <w:trHeight w:val="476"/>
          <w:tblHeader/>
          <w:jc w:val="center"/>
        </w:trPr>
        <w:tc>
          <w:tcPr>
            <w:tcW w:w="170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64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</w:p>
        </w:tc>
        <w:tc>
          <w:tcPr>
            <w:tcW w:w="164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</w:p>
        </w:tc>
      </w:tr>
      <w:tr>
        <w:trPr>
          <w:trHeight w:val="1064"/>
          <w:tblHeader/>
          <w:jc w:val="center"/>
        </w:trPr>
        <w:tc>
          <w:tcPr>
            <w:tcW w:w="170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сентябрю 2023г.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2023г.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4671,9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40564,1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4665,4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40539,9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>
        <w:trPr>
          <w:jc w:val="center"/>
        </w:trPr>
        <w:tc>
          <w:tcPr>
            <w:tcW w:w="17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 xml:space="preserve">на розничных рынках и </w:t>
            </w:r>
            <w:r>
              <w:rPr>
                <w:rFonts w:ascii="Arial" w:hAnsi="Arial" w:cs="Arial"/>
              </w:rPr>
              <w:br/>
              <w:t>ярмарках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8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2024г. в структуре оборота розничной торговли удельный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вил - 49,9%, 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50,1% (в январе-сентябре 2023г.  – 49,8% и 50,2% соответственно).</w:t>
      </w:r>
    </w:p>
    <w:p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lastRenderedPageBreak/>
        <w:t>ДИНАМИКА ОБОРОТА РОЗНИЧНОЙ ТОРГОВЛИ ПИЩЕВЫМИ</w:t>
      </w:r>
      <w:r>
        <w:rPr>
          <w:rFonts w:ascii="Arial" w:hAnsi="Arial" w:cs="Arial"/>
          <w:b/>
          <w:kern w:val="24"/>
        </w:rPr>
        <w:br/>
        <w:t>ПРОДУКТАМИ, ВКЛЮЧАЯ НАПИТКИ, 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5896,5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6194,8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18634,2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25080,2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2131,7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6387,3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13203,0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2313,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2346,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7032,4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360" w:after="120"/>
        <w:jc w:val="center"/>
        <w:rPr>
          <w:rFonts w:ascii="Arial" w:hAnsi="Arial" w:cs="Arial"/>
          <w:b/>
        </w:rPr>
      </w:pPr>
      <w:bookmarkStart w:id="23" w:name="_Toc73090105"/>
      <w:bookmarkStart w:id="24" w:name="_Toc1547765"/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1818,8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1854,6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5594,4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11156,6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2034,3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6017,6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17174,2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6496,9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23671,1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2024г.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2219,2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2203,1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6700,4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2189,1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2195,8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6635,7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13336,1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2304,7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102,4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20328,7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</w:p>
        </w:tc>
      </w:tr>
      <w:bookmarkEnd w:id="23"/>
    </w:tbl>
    <w:p/>
    <w:p>
      <w:pPr>
        <w:rPr>
          <w:rFonts w:ascii="Arial" w:hAnsi="Arial" w:cs="Arial"/>
          <w:b/>
          <w:bCs/>
          <w:iCs/>
          <w:sz w:val="28"/>
          <w:szCs w:val="28"/>
        </w:rPr>
      </w:pPr>
      <w:bookmarkStart w:id="25" w:name="_Toc179212474"/>
      <w:r>
        <w:rPr>
          <w:i/>
        </w:rPr>
        <w:br w:type="page"/>
      </w:r>
    </w:p>
    <w:p>
      <w:pPr>
        <w:pStyle w:val="2"/>
        <w:spacing w:before="120" w:after="120"/>
        <w:jc w:val="center"/>
        <w:rPr>
          <w:i w:val="0"/>
        </w:rPr>
      </w:pPr>
      <w:r>
        <w:rPr>
          <w:i w:val="0"/>
        </w:rPr>
        <w:lastRenderedPageBreak/>
        <w:t>2. РЕСТОРАНЫ, КАФЕ И БАРЫ</w:t>
      </w:r>
      <w:bookmarkEnd w:id="25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 xml:space="preserve">Оборот общественного питания </w:t>
      </w:r>
      <w:r>
        <w:rPr>
          <w:rFonts w:ascii="Arial" w:hAnsi="Arial" w:cs="Arial"/>
        </w:rPr>
        <w:t xml:space="preserve">в сентябре 2024г. составил 396,3 </w:t>
      </w:r>
      <w:r>
        <w:rPr>
          <w:rFonts w:ascii="Arial" w:hAnsi="Arial" w:cs="Arial"/>
          <w:kern w:val="24"/>
        </w:rPr>
        <w:t xml:space="preserve">млн рублей, или 95,7%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январе-сентябре 2024г. – 3531,6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100,2%.</w:t>
      </w:r>
    </w:p>
    <w:p>
      <w:pPr>
        <w:tabs>
          <w:tab w:val="left" w:pos="6237"/>
        </w:tabs>
        <w:spacing w:before="12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8046" w:type="pct"/>
        <w:tblLayout w:type="fixed"/>
        <w:tblLook w:val="01E0" w:firstRow="1" w:lastRow="1" w:firstColumn="1" w:lastColumn="1" w:noHBand="0" w:noVBand="0"/>
      </w:tblPr>
      <w:tblGrid>
        <w:gridCol w:w="2808"/>
        <w:gridCol w:w="1980"/>
        <w:gridCol w:w="2134"/>
        <w:gridCol w:w="2137"/>
        <w:gridCol w:w="1840"/>
        <w:gridCol w:w="1840"/>
        <w:gridCol w:w="1840"/>
      </w:tblGrid>
      <w:tr>
        <w:trPr>
          <w:gridAfter w:val="3"/>
          <w:wAfter w:w="1893" w:type="pct"/>
          <w:trHeight w:val="337"/>
          <w:tblHeader/>
        </w:trPr>
        <w:tc>
          <w:tcPr>
            <w:tcW w:w="9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46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gridAfter w:val="3"/>
          <w:wAfter w:w="1893" w:type="pct"/>
          <w:trHeight w:val="1098"/>
          <w:tblHeader/>
        </w:trPr>
        <w:tc>
          <w:tcPr>
            <w:tcW w:w="9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gridAfter w:val="3"/>
          <w:wAfter w:w="1893" w:type="pct"/>
        </w:trPr>
        <w:tc>
          <w:tcPr>
            <w:tcW w:w="3107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1083,0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1134,4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2217,4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387,7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105,5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393,9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1191,5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3408,9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109,9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406,5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111,4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114,7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1232,3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4641,2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c>
          <w:tcPr>
            <w:tcW w:w="31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1" w:type="pct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89,6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409,6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420,1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108,8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408,2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1237,9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107,8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2346,8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412,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376,2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396,3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1184,8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95,0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</w:tr>
      <w:tr>
        <w:trPr>
          <w:gridAfter w:val="3"/>
          <w:wAfter w:w="1893" w:type="pct"/>
        </w:trPr>
        <w:tc>
          <w:tcPr>
            <w:tcW w:w="9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3531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/>
    <w:p>
      <w:pPr>
        <w:pStyle w:val="2"/>
        <w:spacing w:before="360" w:after="240"/>
        <w:jc w:val="center"/>
        <w:rPr>
          <w:i w:val="0"/>
        </w:rPr>
      </w:pPr>
      <w:bookmarkStart w:id="26" w:name="_Toc179212475"/>
      <w:r>
        <w:rPr>
          <w:i w:val="0"/>
        </w:rPr>
        <w:lastRenderedPageBreak/>
        <w:t>3. РЫНОК ПЛАТНЫХ УСЛУГ НАСЕЛЕНИЮ</w:t>
      </w:r>
      <w:bookmarkEnd w:id="24"/>
      <w:bookmarkEnd w:id="26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сентябре 2024г. населению было предоставлено платных услуг на сумму 1400,9 млн рублей, что в сопоставимых ценах составило 101,4%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январе-сентябре 2024г. </w:t>
      </w:r>
      <w:r>
        <w:rPr>
          <w:rFonts w:ascii="Arial" w:hAnsi="Arial" w:cs="Arial"/>
          <w:kern w:val="24"/>
          <w:sz w:val="24"/>
          <w:szCs w:val="24"/>
        </w:rPr>
        <w:t>– 12731,0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101,4%. Объем платных услуг, оказанных в среднем одному жителю области, составил 95137 рублей и по сравнению с январем-сентябрем 2023г. увеличился на 2,0%.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ОБЪЕМ ПЛАТНЫХ УСЛУГ НАСЕЛЕНИЮ ПО ВИДАМ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Январь-сентябрь 2024г.</w:t>
            </w:r>
          </w:p>
        </w:tc>
      </w:tr>
      <w:tr>
        <w:trPr>
          <w:trHeight w:val="1125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тябрю 2023г.,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январю-сентябрю 2023г.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55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1400,9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101,4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12731,0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101,4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76"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1353,4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4037,8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210,1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424,2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фитнес-центров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63,2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1176,1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2,3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155,8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мационно-коммуни-кационных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 предпринимателей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7" w:name="_Toc179212476"/>
      <w:bookmarkEnd w:id="22"/>
      <w:r>
        <w:rPr>
          <w:lang w:val="en-US"/>
        </w:rPr>
        <w:lastRenderedPageBreak/>
        <w:t>IV</w:t>
      </w:r>
      <w:r>
        <w:t>. ЦЕНЫ</w:t>
      </w:r>
      <w:bookmarkEnd w:id="27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>
        <w:trPr>
          <w:trHeight w:val="356"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 к</w:t>
            </w:r>
          </w:p>
        </w:tc>
      </w:tr>
      <w:tr>
        <w:trPr>
          <w:trHeight w:val="552"/>
          <w:jc w:val="center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105,8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123,2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119,2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  <w:t>назначения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101,1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106,0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107,7</w:t>
            </w:r>
          </w:p>
        </w:tc>
      </w:tr>
      <w:tr>
        <w:trPr>
          <w:jc w:val="center"/>
        </w:trPr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101,1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107,3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color w:val="000000"/>
                <w:kern w:val="24"/>
              </w:rPr>
            </w:pPr>
            <w:r>
              <w:rPr>
                <w:rFonts w:ascii="Arial" w:hAnsi="Arial" w:cs="Arial"/>
                <w:color w:val="000000"/>
                <w:kern w:val="24"/>
              </w:rPr>
              <w:t>111,9</w:t>
            </w:r>
          </w:p>
        </w:tc>
      </w:tr>
      <w:tr>
        <w:trPr>
          <w:jc w:val="center"/>
        </w:trPr>
        <w:tc>
          <w:tcPr>
            <w:tcW w:w="2407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  <w:t>перевозки</w:t>
            </w:r>
          </w:p>
        </w:tc>
        <w:tc>
          <w:tcPr>
            <w:tcW w:w="864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64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865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128,4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8" w:name="_Toc179212477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8"/>
    </w:p>
    <w:p>
      <w:pPr>
        <w:ind w:firstLine="720"/>
        <w:jc w:val="both"/>
        <w:rPr>
          <w:rFonts w:ascii="Arial" w:hAnsi="Arial" w:cs="Arial"/>
          <w:color w:val="000000"/>
          <w:kern w:val="24"/>
        </w:rPr>
      </w:pPr>
      <w:r>
        <w:rPr>
          <w:rFonts w:ascii="Arial" w:hAnsi="Arial" w:cs="Arial"/>
          <w:color w:val="000000"/>
          <w:kern w:val="24"/>
        </w:rPr>
        <w:t xml:space="preserve">В сентябре 2024г. </w:t>
      </w:r>
      <w:r>
        <w:rPr>
          <w:rFonts w:ascii="Arial" w:hAnsi="Arial" w:cs="Arial"/>
          <w:b/>
          <w:color w:val="000000"/>
          <w:kern w:val="24"/>
        </w:rPr>
        <w:t>индекс потребительских цен</w:t>
      </w:r>
      <w:r>
        <w:rPr>
          <w:rFonts w:ascii="Arial" w:hAnsi="Arial" w:cs="Arial"/>
          <w:color w:val="000000"/>
          <w:kern w:val="24"/>
        </w:rPr>
        <w:t xml:space="preserve"> составил 99,9%, </w:t>
      </w:r>
      <w:r>
        <w:rPr>
          <w:rFonts w:ascii="Arial" w:hAnsi="Arial" w:cs="Arial"/>
          <w:color w:val="000000"/>
          <w:kern w:val="24"/>
        </w:rPr>
        <w:br/>
        <w:t>в том числе на продовольственные товары – 100,6%, непродовольственные товары – 97,1%, услуги – 103,4%.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сентябре </w:t>
      </w:r>
      <w:r>
        <w:rPr>
          <w:rFonts w:ascii="Arial" w:hAnsi="Arial" w:cs="Arial"/>
          <w:kern w:val="24"/>
        </w:rPr>
        <w:t>2024г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0,6%.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3"/>
        <w:gridCol w:w="1662"/>
        <w:gridCol w:w="1662"/>
        <w:gridCol w:w="1663"/>
      </w:tblGrid>
      <w:tr>
        <w:trPr>
          <w:trHeight w:val="356"/>
          <w:tblHeader/>
        </w:trPr>
        <w:tc>
          <w:tcPr>
            <w:tcW w:w="224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 к</w:t>
            </w:r>
          </w:p>
        </w:tc>
      </w:tr>
      <w:tr>
        <w:trPr>
          <w:trHeight w:val="606"/>
          <w:tblHeader/>
        </w:trPr>
        <w:tc>
          <w:tcPr>
            <w:tcW w:w="224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2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1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113,4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112,5</w:t>
            </w:r>
          </w:p>
        </w:tc>
      </w:tr>
      <w:tr>
        <w:tc>
          <w:tcPr>
            <w:tcW w:w="22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918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96,4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110,8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111,7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93,3</w:t>
            </w:r>
          </w:p>
        </w:tc>
        <w:tc>
          <w:tcPr>
            <w:tcW w:w="918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</w:tr>
      <w:tr>
        <w:tc>
          <w:tcPr>
            <w:tcW w:w="22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1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18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Стоимость минимального набора продуктов питания </w:t>
      </w:r>
      <w:r>
        <w:rPr>
          <w:rFonts w:ascii="Arial" w:hAnsi="Arial" w:cs="Arial"/>
          <w:color w:val="000000"/>
        </w:rPr>
        <w:t>в расчете на месяц в среднем по Магаданской области в конце сентября 2024г. составила 11174,96 рубля.</w:t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сентябре 2024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11174,96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10986,98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11401,79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11098,63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454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Цены на </w:t>
      </w:r>
      <w:r>
        <w:rPr>
          <w:rFonts w:ascii="Arial" w:hAnsi="Arial" w:cs="Arial"/>
          <w:b/>
          <w:bCs/>
          <w:color w:val="000000"/>
        </w:rPr>
        <w:t>непродовольственные товары</w:t>
      </w:r>
      <w:r>
        <w:rPr>
          <w:rFonts w:ascii="Arial" w:hAnsi="Arial" w:cs="Arial"/>
          <w:color w:val="000000"/>
        </w:rPr>
        <w:t xml:space="preserve"> в сентябре </w:t>
      </w:r>
      <w:r>
        <w:rPr>
          <w:rFonts w:ascii="Arial" w:hAnsi="Arial" w:cs="Arial"/>
          <w:color w:val="000000"/>
          <w:kern w:val="24"/>
        </w:rPr>
        <w:t>2024г</w:t>
      </w:r>
      <w:r>
        <w:rPr>
          <w:rFonts w:ascii="Arial" w:hAnsi="Arial" w:cs="Arial"/>
          <w:color w:val="000000"/>
        </w:rPr>
        <w:t>. по сравн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нию с предыдущим месяцем снизились на 2,9%.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709"/>
        <w:gridCol w:w="1709"/>
        <w:gridCol w:w="1707"/>
      </w:tblGrid>
      <w:tr>
        <w:trPr>
          <w:trHeight w:val="420"/>
        </w:trPr>
        <w:tc>
          <w:tcPr>
            <w:tcW w:w="217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28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 к</w:t>
            </w:r>
          </w:p>
        </w:tc>
      </w:tr>
      <w:tr>
        <w:trPr>
          <w:trHeight w:val="483"/>
        </w:trPr>
        <w:tc>
          <w:tcPr>
            <w:tcW w:w="217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7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4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90,0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99,4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98,1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94,7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>
        <w:tc>
          <w:tcPr>
            <w:tcW w:w="217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43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9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сентябре </w:t>
      </w:r>
      <w:r>
        <w:rPr>
          <w:rFonts w:ascii="Arial" w:hAnsi="Arial" w:cs="Arial"/>
          <w:kern w:val="24"/>
        </w:rPr>
        <w:t>2024г.</w:t>
      </w:r>
      <w:r>
        <w:rPr>
          <w:rFonts w:ascii="Arial" w:hAnsi="Arial" w:cs="Arial"/>
        </w:rPr>
        <w:t xml:space="preserve">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щим месяцем увеличились на 3,4%.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1727"/>
        <w:gridCol w:w="1729"/>
        <w:gridCol w:w="1727"/>
      </w:tblGrid>
      <w:tr>
        <w:trPr>
          <w:trHeight w:val="435"/>
          <w:tblHeader/>
        </w:trPr>
        <w:tc>
          <w:tcPr>
            <w:tcW w:w="214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0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 к</w:t>
            </w:r>
          </w:p>
        </w:tc>
      </w:tr>
      <w:tr>
        <w:trPr>
          <w:trHeight w:val="562"/>
          <w:tblHeader/>
        </w:trPr>
        <w:tc>
          <w:tcPr>
            <w:tcW w:w="214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c>
          <w:tcPr>
            <w:tcW w:w="214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98,3</w:t>
            </w:r>
          </w:p>
        </w:tc>
        <w:tc>
          <w:tcPr>
            <w:tcW w:w="9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107,2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119,3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95,7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113,8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120,4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120,7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4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4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114,9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9" w:name="_Toc179212478"/>
      <w:r>
        <w:rPr>
          <w:i w:val="0"/>
        </w:rPr>
        <w:t>2. ЦЕНЫ ПРОИЗВОДИТЕЛЕЙ</w:t>
      </w:r>
      <w:bookmarkEnd w:id="29"/>
    </w:p>
    <w:p>
      <w:pPr>
        <w:widowControl w:val="0"/>
        <w:shd w:val="clear" w:color="auto" w:fill="FFFFFF"/>
        <w:spacing w:before="40" w:after="40"/>
        <w:ind w:firstLine="709"/>
        <w:jc w:val="both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bCs/>
          <w:color w:val="000000"/>
        </w:rPr>
        <w:t>Индекс цен производителей промышленных товаров</w:t>
      </w:r>
      <w:r>
        <w:rPr>
          <w:rFonts w:ascii="Arial" w:hAnsi="Arial" w:cs="Arial"/>
          <w:color w:val="000000"/>
        </w:rPr>
        <w:t xml:space="preserve"> в сентябре 2024г. относительно предыдущего месяца, по предварительным данным, с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>ставил 105,8%, в том числе в добыче полезных ископаемых – 100,0%, в обр</w:t>
      </w:r>
      <w:r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>батывающих производствах – 107,2%, в обеспечении электрической энерг</w:t>
      </w:r>
      <w:r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>ей, газом и паром; кондиционировании воздуха – 100,0%, в водоснабжении; водоотведении, организации сбора и утилизации отходов, деятельности по ликвидации загрязнений</w:t>
      </w:r>
      <w:r>
        <w:rPr>
          <w:rFonts w:ascii="Arial" w:hAnsi="Arial" w:cs="Arial"/>
          <w:color w:val="000000"/>
          <w:sz w:val="28"/>
        </w:rPr>
        <w:t xml:space="preserve"> – </w:t>
      </w:r>
      <w:r>
        <w:rPr>
          <w:rFonts w:ascii="Arial" w:hAnsi="Arial" w:cs="Arial"/>
          <w:color w:val="000000"/>
        </w:rPr>
        <w:t>112,4%.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46"/>
        <w:gridCol w:w="788"/>
        <w:gridCol w:w="788"/>
        <w:gridCol w:w="788"/>
        <w:gridCol w:w="790"/>
        <w:gridCol w:w="788"/>
        <w:gridCol w:w="788"/>
        <w:gridCol w:w="788"/>
        <w:gridCol w:w="792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90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82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мых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электричес-кой энергией, газом и паром; кондициони-рование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806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</w:t>
            </w:r>
            <w:r>
              <w:rPr>
                <w:rFonts w:ascii="Arial" w:hAnsi="Arial" w:cs="Arial"/>
                <w:i/>
                <w:sz w:val="22"/>
                <w:szCs w:val="22"/>
              </w:rPr>
              <w:t>у</w:t>
            </w:r>
            <w:r>
              <w:rPr>
                <w:rFonts w:ascii="Arial" w:hAnsi="Arial" w:cs="Arial"/>
                <w:i/>
                <w:sz w:val="22"/>
                <w:szCs w:val="22"/>
              </w:rPr>
              <w:t>щему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8" w:right="-57" w:hanging="1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кабрю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136,2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97,1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132,2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135,2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99,8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130,1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93,8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129,8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154,4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124,4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2024г.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99,4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104,9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105,9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109,7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109</w:t>
            </w:r>
            <w:r>
              <w:rPr>
                <w:rFonts w:ascii="Arial" w:hAnsi="Arial" w:cs="Arial"/>
                <w:bCs/>
                <w:sz w:val="22"/>
                <w:szCs w:val="22"/>
              </w:rPr>
              <w:t>,2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114,6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122,8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107,5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123,1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134,3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90,7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111,7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89,8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96,6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101,8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121,2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90,6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hanging="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102,3</w:t>
            </w:r>
          </w:p>
        </w:tc>
        <w:tc>
          <w:tcPr>
            <w:tcW w:w="46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116,4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121,5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106,5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  <w:tc>
          <w:tcPr>
            <w:tcW w:w="46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123,2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130,2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43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112,4</w:t>
            </w:r>
          </w:p>
        </w:tc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-113"/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119,7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471"/>
        <w:gridCol w:w="1471"/>
        <w:gridCol w:w="1473"/>
      </w:tblGrid>
      <w:tr>
        <w:trPr>
          <w:trHeight w:val="449"/>
          <w:tblHeader/>
          <w:jc w:val="center"/>
        </w:trPr>
        <w:tc>
          <w:tcPr>
            <w:tcW w:w="256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 2024г. к</w:t>
            </w:r>
          </w:p>
        </w:tc>
      </w:tr>
      <w:tr>
        <w:trPr>
          <w:trHeight w:val="812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августу </w:t>
            </w:r>
            <w:r>
              <w:rPr>
                <w:rFonts w:ascii="Arial" w:hAnsi="Arial" w:cs="Arial"/>
                <w:i/>
              </w:rPr>
              <w:br/>
              <w:t>2024г.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декабрю 2023г.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сентябрю </w:t>
            </w:r>
            <w:r>
              <w:rPr>
                <w:rFonts w:ascii="Arial" w:hAnsi="Arial" w:cs="Arial"/>
                <w:i/>
                <w:iCs/>
              </w:rPr>
              <w:br/>
              <w:t>2023г.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130,2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124,0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109,1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131,1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81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102,6</w:t>
            </w:r>
          </w:p>
        </w:tc>
      </w:tr>
      <w:tr>
        <w:trPr>
          <w:jc w:val="center"/>
        </w:trPr>
        <w:tc>
          <w:tcPr>
            <w:tcW w:w="25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>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112,4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813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8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146,0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2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сентябре 2024г., по предварительным данным, составил 100,0%.</w:t>
      </w:r>
    </w:p>
    <w:p>
      <w:pPr>
        <w:widowControl w:val="0"/>
        <w:spacing w:before="240" w:after="6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trHeight w:val="451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2024г.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128,3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98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126,7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130,0</w:t>
            </w:r>
          </w:p>
        </w:tc>
      </w:tr>
    </w:tbl>
    <w:p/>
    <w:p>
      <w: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0" w:name="_Toc347145706"/>
      <w:bookmarkStart w:id="31" w:name="_Toc443379910"/>
      <w:bookmarkStart w:id="32" w:name="_Toc472350846"/>
      <w:bookmarkStart w:id="33" w:name="_Toc17209006"/>
      <w:bookmarkStart w:id="34" w:name="_Toc179212479"/>
      <w:r>
        <w:rPr>
          <w:lang w:val="en-US"/>
        </w:rPr>
        <w:lastRenderedPageBreak/>
        <w:t>V</w:t>
      </w:r>
      <w:r>
        <w:t xml:space="preserve">. </w:t>
      </w:r>
      <w:bookmarkEnd w:id="30"/>
      <w:r>
        <w:t>ФИНАНСОВАЯ</w:t>
      </w:r>
      <w:bookmarkStart w:id="35" w:name="_Toc443379911"/>
      <w:bookmarkStart w:id="36" w:name="_Toc472350847"/>
      <w:bookmarkEnd w:id="31"/>
      <w:bookmarkEnd w:id="32"/>
      <w:r>
        <w:t xml:space="preserve"> ДЕЯТЕЛЬНОСТЬ ОРГАНИЗАЦИЙ</w:t>
      </w:r>
      <w:bookmarkEnd w:id="33"/>
      <w:bookmarkEnd w:id="34"/>
      <w:bookmarkEnd w:id="35"/>
      <w:bookmarkEnd w:id="36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январе-августе 2024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200"/>
        <w:gridCol w:w="1123"/>
        <w:gridCol w:w="1123"/>
        <w:gridCol w:w="1123"/>
        <w:gridCol w:w="1122"/>
      </w:tblGrid>
      <w:tr>
        <w:trPr>
          <w:trHeight w:val="2634"/>
          <w:tblHeader/>
          <w:jc w:val="center"/>
        </w:trPr>
        <w:tc>
          <w:tcPr>
            <w:tcW w:w="1859" w:type="pct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и убы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т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+81006,3</w:t>
            </w:r>
          </w:p>
        </w:tc>
        <w:tc>
          <w:tcPr>
            <w:tcW w:w="6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89299,1</w:t>
            </w:r>
          </w:p>
        </w:tc>
        <w:tc>
          <w:tcPr>
            <w:tcW w:w="6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59,5</w:t>
            </w:r>
          </w:p>
        </w:tc>
        <w:tc>
          <w:tcPr>
            <w:tcW w:w="6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8292,8</w:t>
            </w:r>
          </w:p>
        </w:tc>
        <w:tc>
          <w:tcPr>
            <w:tcW w:w="6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40,5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</w:t>
            </w:r>
            <w:r>
              <w:rPr>
                <w:rFonts w:ascii="Arial" w:hAnsi="Arial" w:cs="Arial"/>
              </w:rPr>
              <w:br/>
              <w:t>хозяйство,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+1110,6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+75082,6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77297,3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2214,7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-4536,1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дение, организация сбора и утилизации отходов, де</w:t>
            </w:r>
            <w:r>
              <w:rPr>
                <w:rFonts w:ascii="Arial" w:hAnsi="Arial" w:cs="Arial"/>
              </w:rPr>
              <w:t>я</w:t>
            </w:r>
            <w:r>
              <w:rPr>
                <w:rFonts w:ascii="Arial" w:hAnsi="Arial" w:cs="Arial"/>
              </w:rPr>
              <w:t>тельность по ликвидации загрязнений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</w:t>
            </w:r>
            <w:r>
              <w:rPr>
                <w:rFonts w:ascii="Arial" w:hAnsi="Arial" w:cs="Arial"/>
              </w:rPr>
              <w:br/>
              <w:t>розничная;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+6425,1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транспортировка и </w:t>
            </w:r>
            <w:r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+1042,8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1454,3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411,5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го питания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финансовая и страховая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ям с недвижимым имущ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ством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нальная, научная и техн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ческая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-103,2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тивная и сопутствующие дополнительные услуги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18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предоставление прочих </w:t>
            </w:r>
            <w:r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августа 2024г.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ствам организаций, по оперативным данным, составила 386377,2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2091,8 млн рублей, или 0,5% от общей суммы </w:t>
      </w:r>
      <w:r>
        <w:rPr>
          <w:rFonts w:ascii="Arial" w:hAnsi="Arial" w:cs="Arial"/>
        </w:rPr>
        <w:br/>
        <w:t xml:space="preserve">задолженности (на конец августа 2023г. – 0,6%, на конец июля </w:t>
      </w:r>
      <w:r>
        <w:rPr>
          <w:rFonts w:ascii="Arial" w:hAnsi="Arial" w:cs="Arial"/>
        </w:rPr>
        <w:br/>
        <w:t xml:space="preserve">2024г. – 0,7%). </w:t>
      </w: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>, по оперативным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ставила 112046,9 млн рублей. 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августа 2024г., по оперативным данным, составила 248121,1 млн рублей, из нее просроченная – 4921,5 млн рублей, или 2,0%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августа 2023г. – 5,1%, на конец июля 2024г. – 2,1%).</w:t>
      </w:r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2024г.,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53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августу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июлю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2024г.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386377,2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112046,9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127,4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274330,3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2091,8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кредитам банков 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248121,1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4921,5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47,1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7" w:name="_Toc347145707"/>
      <w:bookmarkStart w:id="38" w:name="_Toc443379912"/>
      <w:bookmarkStart w:id="39" w:name="_Toc472350848"/>
      <w:bookmarkStart w:id="40" w:name="_Toc179212480"/>
      <w:r>
        <w:rPr>
          <w:lang w:val="en-US"/>
        </w:rPr>
        <w:lastRenderedPageBreak/>
        <w:t>VI</w:t>
      </w:r>
      <w:r>
        <w:t>. УРОВЕНЬ ЖИЗНИ НАСЕЛЕНИЯ</w:t>
      </w:r>
      <w:bookmarkEnd w:id="37"/>
      <w:bookmarkEnd w:id="38"/>
      <w:bookmarkEnd w:id="39"/>
      <w:bookmarkEnd w:id="40"/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августе 2024г. составила 135931,7 рубля и по сравнению с августом 2023г. увеличилась на 13,0%.</w:t>
      </w:r>
    </w:p>
    <w:p>
      <w:pPr>
        <w:spacing w:before="20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755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118851,2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124937,2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122923,7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129655,0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168619,8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128,5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180922,1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132545,4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150357,8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152829,4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151197,7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149040,2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103,8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144971,6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143367,2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113,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135931,7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jc w:val="both"/>
        <w:rPr>
          <w:rFonts w:ascii="Arial" w:hAnsi="Arial" w:cs="Arial"/>
          <w:b/>
          <w:bCs/>
        </w:rPr>
      </w:pPr>
    </w:p>
    <w:p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4960" w:type="pct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222"/>
        <w:gridCol w:w="1143"/>
        <w:gridCol w:w="1014"/>
        <w:gridCol w:w="1222"/>
        <w:gridCol w:w="953"/>
        <w:gridCol w:w="1332"/>
      </w:tblGrid>
      <w:tr>
        <w:trPr>
          <w:trHeight w:val="620"/>
          <w:tblHeader/>
          <w:jc w:val="center"/>
        </w:trPr>
        <w:tc>
          <w:tcPr>
            <w:tcW w:w="116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8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2024г.</w:t>
            </w: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2024г.</w:t>
            </w:r>
          </w:p>
        </w:tc>
      </w:tr>
      <w:tr>
        <w:trPr>
          <w:trHeight w:val="420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169"/>
          <w:tblHeader/>
          <w:jc w:val="center"/>
        </w:trPr>
        <w:tc>
          <w:tcPr>
            <w:tcW w:w="116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 2023г.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2024г.</w:t>
            </w:r>
          </w:p>
        </w:tc>
        <w:tc>
          <w:tcPr>
            <w:tcW w:w="68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рю-авг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 2023г.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 xml:space="preserve">ластному уровню </w:t>
            </w:r>
            <w:r>
              <w:rPr>
                <w:rFonts w:ascii="Arial" w:hAnsi="Arial" w:cs="Arial"/>
                <w:i/>
              </w:rPr>
              <w:br/>
              <w:t>среднем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сячной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работной платы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135931,7</w:t>
            </w:r>
          </w:p>
        </w:tc>
        <w:tc>
          <w:tcPr>
            <w:tcW w:w="6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5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143615,4</w:t>
            </w:r>
          </w:p>
        </w:tc>
        <w:tc>
          <w:tcPr>
            <w:tcW w:w="5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7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>сельское, ле</w:t>
            </w:r>
            <w:r>
              <w:rPr>
                <w:rFonts w:ascii="Arial" w:hAnsi="Arial" w:cs="Arial"/>
                <w:b/>
              </w:rPr>
              <w:t>с</w:t>
            </w:r>
            <w:r>
              <w:rPr>
                <w:rFonts w:ascii="Arial" w:hAnsi="Arial" w:cs="Arial"/>
                <w:b/>
              </w:rPr>
              <w:t>ное хозяйство, охота, рыб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 xml:space="preserve">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254876,3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191317,1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ство, охота и предоставление </w:t>
            </w:r>
            <w:r>
              <w:rPr>
                <w:rFonts w:ascii="Arial" w:hAnsi="Arial" w:cs="Arial"/>
              </w:rPr>
              <w:br/>
              <w:t>соответству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88272,1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78904,6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лесоводство и лесозаготовки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107383,8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98913,7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350765,9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252575,9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полезных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167218,2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168423,3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283869,2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2,2 р.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134387,4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2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529263,2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4,2 р.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159318,8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95672,6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58351,4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ская и копиров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веществ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продуктов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187662,9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193908,9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материалов,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 медицинских целях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пластмассовых 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38868,3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минеральной продукции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80299,3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54459,3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металлургич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лических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лий, кроме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45033,3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дования, не включенных в другие групп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112230,5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110806,0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мебели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76894,3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161625,9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169768,9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128562,4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129818,9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дение,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тельность 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91282,1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89508,6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158684,1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140542,9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транспортных средств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мотоциклов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106491,1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115356,2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136491,5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138517,6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96,5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102375,1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106707,3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водного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118959,6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159513,4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167159,1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ная транспор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156665,6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156809,9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80464,2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83858,0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58,4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предприятий общественного питания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83869,1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80142,8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126,7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113371,2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118821,7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162117,5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179334,6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124,9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83626,6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90721,0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134,1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63,2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нальная, нау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 и технич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ская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169747,2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89,7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185657,2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129,3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198" w:right="-57" w:firstLine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научные </w:t>
            </w:r>
            <w:r>
              <w:rPr>
                <w:rFonts w:ascii="Arial" w:hAnsi="Arial" w:cs="Arial"/>
                <w:sz w:val="24"/>
                <w:szCs w:val="24"/>
              </w:rPr>
              <w:br/>
              <w:t>исследования и разработки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124941,3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132264,6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тивная и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путствующие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дополнител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80031,7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89201,7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ное управление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обеспечение военной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безопасности; социальное обеспечение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127942,6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74,9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152212,5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62042,6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114538,9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121,9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79,8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здравоохран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ния и социал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112337,4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86,8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133564,7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80543,8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71,0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120752,6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120,3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84,1</w:t>
            </w:r>
          </w:p>
        </w:tc>
      </w:tr>
      <w:tr>
        <w:trPr>
          <w:jc w:val="center"/>
        </w:trPr>
        <w:tc>
          <w:tcPr>
            <w:tcW w:w="11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прочих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видов услуг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83471,3</w:t>
            </w: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77,3</w:t>
            </w:r>
          </w:p>
        </w:tc>
        <w:tc>
          <w:tcPr>
            <w:tcW w:w="6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95656,2</w:t>
            </w:r>
          </w:p>
        </w:tc>
        <w:tc>
          <w:tcPr>
            <w:tcW w:w="5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129,2</w:t>
            </w:r>
          </w:p>
        </w:tc>
        <w:tc>
          <w:tcPr>
            <w:tcW w:w="7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2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66,6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августе 2024г. составила 144423,7 рубля. По сравнению с июлем 2024г. она уменьшилась на 5,2%, </w:t>
      </w:r>
      <w:r>
        <w:rPr>
          <w:rFonts w:ascii="Arial" w:hAnsi="Arial" w:cs="Arial"/>
        </w:rPr>
        <w:br/>
        <w:t xml:space="preserve">с августом 2023г. – увеличилась на 14,4%. </w:t>
      </w:r>
    </w:p>
    <w:p>
      <w:pPr>
        <w:rPr>
          <w:rFonts w:ascii="Arial" w:hAnsi="Arial" w:cs="Arial"/>
          <w:b/>
          <w:bCs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sz w:val="24"/>
          <w:szCs w:val="24"/>
        </w:rPr>
        <w:t xml:space="preserve"> Суммарная задолженность по заработной плате на 1 октября 2024г. составила 22811,0 тыс. рублей.</w:t>
      </w:r>
      <w:r>
        <w:rPr>
          <w:rFonts w:ascii="Arial" w:hAnsi="Arial" w:cs="Arial"/>
          <w:bCs/>
          <w:sz w:val="24"/>
          <w:szCs w:val="24"/>
        </w:rPr>
        <w:t xml:space="preserve"> Численность работников, перед кот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рыми имеется просроченная задолженность по заработной плате, составила 36 человек.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keepNext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</w:p>
    <w:p>
      <w:pPr>
        <w:keepNext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октября 2024 года</w:t>
      </w: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p>
      <w:pPr>
        <w:ind w:firstLine="709"/>
        <w:jc w:val="both"/>
        <w:rPr>
          <w:rFonts w:ascii="Arial" w:hAnsi="Arial" w:cs="Arial"/>
          <w:b/>
          <w:sz w:val="2"/>
          <w:szCs w:val="2"/>
          <w:highlight w:val="cy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1714"/>
        <w:gridCol w:w="1723"/>
        <w:gridCol w:w="1727"/>
      </w:tblGrid>
      <w:tr>
        <w:trPr>
          <w:trHeight w:val="395"/>
          <w:tblHeader/>
          <w:jc w:val="center"/>
        </w:trPr>
        <w:tc>
          <w:tcPr>
            <w:tcW w:w="2150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2850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</w:tr>
      <w:tr>
        <w:trPr>
          <w:trHeight w:val="422"/>
          <w:tblHeader/>
          <w:jc w:val="center"/>
        </w:trPr>
        <w:tc>
          <w:tcPr>
            <w:tcW w:w="2150" w:type="pct"/>
            <w:vMerge/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19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1546"/>
          <w:tblHeader/>
          <w:jc w:val="center"/>
        </w:trPr>
        <w:tc>
          <w:tcPr>
            <w:tcW w:w="2150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недофина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сирования из бюджетов всех уровней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center" w:pos="4536"/>
                <w:tab w:val="right" w:pos="9072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  <w:t>отсутствия собственных средств</w:t>
            </w:r>
          </w:p>
        </w:tc>
      </w:tr>
      <w:tr>
        <w:trPr>
          <w:jc w:val="center"/>
        </w:trPr>
        <w:tc>
          <w:tcPr>
            <w:tcW w:w="215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9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22811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19442</w:t>
            </w:r>
          </w:p>
        </w:tc>
        <w:tc>
          <w:tcPr>
            <w:tcW w:w="9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3369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  <w:tc>
          <w:tcPr>
            <w:tcW w:w="95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150" w:type="pct"/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обеспечение электроэнергией, газом и паром, кондициониров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ние воздуха</w:t>
            </w:r>
          </w:p>
        </w:tc>
        <w:tc>
          <w:tcPr>
            <w:tcW w:w="946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19442</w:t>
            </w:r>
          </w:p>
        </w:tc>
        <w:tc>
          <w:tcPr>
            <w:tcW w:w="951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19442</w:t>
            </w:r>
          </w:p>
        </w:tc>
        <w:tc>
          <w:tcPr>
            <w:tcW w:w="953" w:type="pct"/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15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94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3369</w:t>
            </w:r>
          </w:p>
        </w:tc>
        <w:tc>
          <w:tcPr>
            <w:tcW w:w="95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5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keepNext/>
              <w:ind w:right="1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3369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1" w:name="_Toc179212481"/>
      <w:r>
        <w:rPr>
          <w:lang w:val="en-US"/>
        </w:rPr>
        <w:lastRenderedPageBreak/>
        <w:t>VII</w:t>
      </w:r>
      <w:r>
        <w:t>. ЗАНЯТОСТЬ И БЕЗРАБОТИЦА</w:t>
      </w:r>
      <w:bookmarkEnd w:id="41"/>
    </w:p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августе 2024г.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56,3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2,0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58,3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>
              <w:rPr>
                <w:rFonts w:ascii="Arial" w:hAnsi="Arial" w:cs="Arial"/>
                <w:i/>
              </w:rPr>
              <w:br/>
              <w:t xml:space="preserve">2024г.,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августу 2023г.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июлю 2024г.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58307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96,9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99,6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56283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населения.</w:t>
      </w:r>
      <w:r>
        <w:rPr>
          <w:rFonts w:ascii="Arial" w:hAnsi="Arial" w:cs="Arial"/>
        </w:rPr>
        <w:t xml:space="preserve"> К концу сентября 2024г. в органах службы занятости населения состояли на учете 0,4 тыс. </w:t>
      </w:r>
      <w:r>
        <w:rPr>
          <w:rFonts w:ascii="Arial" w:hAnsi="Arial" w:cs="Arial"/>
        </w:rPr>
        <w:br/>
        <w:t>не занятых трудовой деятельностью граждан, из них 0,3 тыс. человек имели статус безработного, в том числе 0,2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2024г.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сентябре 2024г. составил 0,4% (в сентябре 2023г. – 0,7%).</w:t>
      </w: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179212482"/>
      <w:r>
        <w:rPr>
          <w:lang w:val="en-US"/>
        </w:rPr>
        <w:lastRenderedPageBreak/>
        <w:t>VIII</w:t>
      </w:r>
      <w:r>
        <w:t>. ДЕМОГРАФИЯ</w:t>
      </w:r>
      <w:bookmarkEnd w:id="42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Январь-август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58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2024г.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4г.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670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756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25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7,5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8,5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1077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25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+23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12,1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-430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-321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-4,9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679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-93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25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5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5,9</w:t>
            </w:r>
          </w:p>
        </w:tc>
      </w:tr>
    </w:tbl>
    <w:p>
      <w:pPr>
        <w:spacing w:before="60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>
      <w:pPr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  <w:lang w:val="en-US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  <w:lang w:val="en-US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>
      <w:pPr>
        <w:rPr>
          <w:rFonts w:ascii="Arial" w:hAnsi="Arial" w:cs="Arial"/>
          <w:b/>
          <w:i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Январь-сентябрь 2024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02</w:t>
      </w:r>
      <w:r>
        <w:rPr>
          <w:rFonts w:cs="Arial"/>
        </w:rPr>
        <w:t>.</w:t>
      </w:r>
      <w:r>
        <w:rPr>
          <w:rFonts w:cs="Arial"/>
          <w:lang w:val="ru-RU"/>
        </w:rPr>
        <w:t>11</w:t>
      </w:r>
      <w:r>
        <w:rPr>
          <w:rFonts w:cs="Arial"/>
        </w:rPr>
        <w:t>.20</w:t>
      </w:r>
      <w:r>
        <w:rPr>
          <w:rFonts w:cs="Arial"/>
          <w:lang w:val="ru-RU"/>
        </w:rPr>
        <w:t>24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46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27.rosstat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487EB-76F1-4E67-941A-8AF9872D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8271</Words>
  <Characters>47149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55310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2024-10-31T00:05:00Z</cp:lastPrinted>
  <dcterms:created xsi:type="dcterms:W3CDTF">2024-11-01T22:34:00Z</dcterms:created>
  <dcterms:modified xsi:type="dcterms:W3CDTF">2024-11-01T22:34:00Z</dcterms:modified>
</cp:coreProperties>
</file>