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  <w:bookmarkStart w:id="0" w:name="_GoBack"/>
      <w:bookmarkEnd w:id="0"/>
    </w:p>
    <w:p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ЯНВАРЬ-ОКТЯБРЬ 2024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нов», «Методология», «Официальная статистика») и Интернет-портале 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 (</w:t>
      </w:r>
      <w:hyperlink r:id="rId10" w:history="1">
        <w:r>
          <w:rPr>
            <w:rStyle w:val="af4"/>
            <w:rFonts w:ascii="Arial" w:hAnsi="Arial" w:cs="Arial"/>
          </w:rPr>
          <w:t>http://27.</w:t>
        </w:r>
        <w:r>
          <w:rPr>
            <w:rStyle w:val="af4"/>
            <w:rFonts w:ascii="Arial" w:hAnsi="Arial" w:cs="Arial"/>
            <w:lang w:val="en-US"/>
          </w:rPr>
          <w:t>ross</w:t>
        </w:r>
        <w:r>
          <w:rPr>
            <w:rStyle w:val="af4"/>
            <w:rFonts w:ascii="Arial" w:hAnsi="Arial" w:cs="Arial"/>
          </w:rPr>
          <w:t>tat.g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82236573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2236574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2236575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2236576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2236577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2236578" w:history="1">
        <w:r>
          <w:rPr>
            <w:rStyle w:val="af4"/>
          </w:rPr>
          <w:t>4.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2236579" w:history="1">
        <w:r>
          <w:rPr>
            <w:rStyle w:val="af4"/>
          </w:rPr>
          <w:t>5.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2236580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2236581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2236582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2236583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2236584" w:history="1">
        <w:r>
          <w:rPr>
            <w:rStyle w:val="af4"/>
          </w:rPr>
          <w:t>IV. ИНВЕСТИЦИИ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2236585" w:history="1">
        <w:r>
          <w:rPr>
            <w:rStyle w:val="af4"/>
          </w:rPr>
          <w:t>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2236586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2236587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2236588" w:history="1">
        <w:r>
          <w:rPr>
            <w:rStyle w:val="af4"/>
          </w:rPr>
          <w:t>VI.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2236589" w:history="1">
        <w:r>
          <w:rPr>
            <w:rStyle w:val="af4"/>
          </w:rPr>
          <w:t>VII.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2236590" w:history="1">
        <w:r>
          <w:rPr>
            <w:rStyle w:val="af4"/>
          </w:rPr>
          <w:t>VIII.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2236591" w:history="1">
        <w:r>
          <w:rPr>
            <w:rStyle w:val="af4"/>
          </w:rPr>
          <w:t>IX.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_Toc182236591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82236573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Октябрь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Октябрь 2024г.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октябрю 2023г.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Январь-октябрь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январю-октябрю 2023г.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январь-октябрь 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январю-октябрю 2022г.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4766,7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45330,8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1491,9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14226,8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122,5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132,3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135,2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Октябрь 2024г. к декабрю 2023г.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Октябрь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82236574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>
      <w:pPr>
        <w:pStyle w:val="2"/>
        <w:spacing w:after="120"/>
        <w:jc w:val="center"/>
        <w:rPr>
          <w:i w:val="0"/>
        </w:rPr>
      </w:pPr>
      <w:bookmarkStart w:id="7" w:name="_Toc182236575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326"/>
        <w:gridCol w:w="1062"/>
        <w:gridCol w:w="1064"/>
        <w:gridCol w:w="1276"/>
        <w:gridCol w:w="1118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</w:t>
            </w:r>
          </w:p>
        </w:tc>
        <w:tc>
          <w:tcPr>
            <w:tcW w:w="13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Январь-октябрь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январю-октябрю  2023г.</w:t>
            </w:r>
          </w:p>
        </w:tc>
      </w:tr>
      <w:tr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2024г.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 2023г.</w:t>
            </w: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55264,7</w:t>
            </w:r>
          </w:p>
        </w:tc>
        <w:tc>
          <w:tcPr>
            <w:tcW w:w="5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68,7</w:t>
            </w:r>
          </w:p>
        </w:tc>
        <w:tc>
          <w:tcPr>
            <w:tcW w:w="5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136,1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559614,1</w:t>
            </w:r>
          </w:p>
        </w:tc>
        <w:tc>
          <w:tcPr>
            <w:tcW w:w="62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128,7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1869,5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2,6 р.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2,1 р.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11318,5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31647,7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56,0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322152,3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824,5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88,5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7512,2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2467,1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20671,5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128,8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1215,6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2679,0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22377,4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</w:t>
            </w:r>
            <w:r>
              <w:rPr>
                <w:rFonts w:ascii="Arial" w:hAnsi="Arial" w:cs="Arial"/>
              </w:rPr>
              <w:br/>
              <w:t>розничная;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11127,4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126490,0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транспортировка </w:t>
            </w:r>
            <w:r>
              <w:rPr>
                <w:rFonts w:ascii="Arial" w:hAnsi="Arial" w:cs="Arial"/>
              </w:rPr>
              <w:br/>
              <w:t>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2322,6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93,1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27526,8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гостиниц </w:t>
            </w:r>
            <w:r>
              <w:rPr>
                <w:rFonts w:ascii="Arial" w:hAnsi="Arial" w:cs="Arial"/>
              </w:rPr>
              <w:br/>
              <w:t>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377,5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3530,4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357,8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3488,7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1875,7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473,6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93,0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4413,2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276,4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99,1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2528,0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94,8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917,3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123,5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574,1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317,9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118,0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2676,4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культуры, спорта, </w:t>
            </w:r>
            <w:r>
              <w:rPr>
                <w:rFonts w:ascii="Arial" w:hAnsi="Arial" w:cs="Arial"/>
              </w:rPr>
              <w:br/>
              <w:t>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161,4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184,6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111,4</w:t>
            </w:r>
          </w:p>
        </w:tc>
      </w:tr>
    </w:tbl>
    <w:p>
      <w:pPr>
        <w:pStyle w:val="2"/>
        <w:spacing w:before="360" w:after="120"/>
        <w:jc w:val="center"/>
        <w:rPr>
          <w:i w:val="0"/>
        </w:rPr>
      </w:pPr>
      <w:bookmarkStart w:id="10" w:name="_Toc182236576"/>
      <w:r>
        <w:rPr>
          <w:i w:val="0"/>
        </w:rPr>
        <w:t>2. ПРОМЫШЛЕННОЕ ПРОИЗВОДСТВО</w:t>
      </w:r>
      <w:bookmarkEnd w:id="8"/>
      <w:bookmarkEnd w:id="9"/>
      <w:bookmarkEnd w:id="10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январе-октябре 2024г. по сравнению с соответствующим периодом предыдущего года составил 103,5%.</w:t>
      </w:r>
    </w:p>
    <w:p>
      <w:pPr>
        <w:spacing w:before="12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776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80,9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142,6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1854"/>
        <w:gridCol w:w="1995"/>
      </w:tblGrid>
      <w:tr>
        <w:trPr>
          <w:trHeight w:val="1625"/>
          <w:tblHeader/>
          <w:jc w:val="center"/>
        </w:trPr>
        <w:tc>
          <w:tcPr>
            <w:tcW w:w="287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октябрю 2023г.</w:t>
            </w:r>
          </w:p>
        </w:tc>
        <w:tc>
          <w:tcPr>
            <w:tcW w:w="11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январю-октябрю 2023г.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2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110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104,8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89,3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5,7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83,9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81,7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пищевых продуктов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92,8</w:t>
            </w:r>
          </w:p>
        </w:tc>
      </w:tr>
      <w:tr>
        <w:trPr>
          <w:trHeight w:val="252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>мебели, производство изделий из соломки и материалов для плетения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593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86,1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76,4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61,2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107,1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85,3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74,1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67,5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86,7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119,2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140,3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422,3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81,3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  <w:t xml:space="preserve">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102,5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104,2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99,8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102,3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108,8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108,3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ликвидации загрязнений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93,2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98,2</w:t>
            </w:r>
          </w:p>
        </w:tc>
      </w:tr>
    </w:tbl>
    <w:p>
      <w:pPr>
        <w:jc w:val="both"/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after="6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076"/>
        <w:gridCol w:w="1245"/>
        <w:gridCol w:w="1247"/>
        <w:gridCol w:w="1247"/>
        <w:gridCol w:w="1245"/>
      </w:tblGrid>
      <w:tr>
        <w:trPr>
          <w:trHeight w:val="592"/>
          <w:tblHeader/>
          <w:jc w:val="center"/>
        </w:trPr>
        <w:tc>
          <w:tcPr>
            <w:tcW w:w="22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</w:t>
            </w: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2024г.</w:t>
            </w:r>
          </w:p>
        </w:tc>
      </w:tr>
      <w:tr>
        <w:trPr>
          <w:trHeight w:val="1311"/>
          <w:tblHeader/>
          <w:jc w:val="center"/>
        </w:trPr>
        <w:tc>
          <w:tcPr>
            <w:tcW w:w="224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октябрю 2023г.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январю-октябрю 2023г.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2147,5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40205,0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28821,7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283026,1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-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1713,7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из дерева и пробки, кроме мебели, </w:t>
            </w:r>
            <w:r>
              <w:rPr>
                <w:rFonts w:ascii="Arial" w:hAnsi="Arial" w:cs="Arial"/>
              </w:rPr>
              <w:br/>
              <w:t>производство изделий из соломки и материалов для плетения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>веществ и химических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ческой минеральной продукции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 xml:space="preserve">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594,9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rPr>
          <w:jc w:val="center"/>
        </w:trPr>
        <w:tc>
          <w:tcPr>
            <w:tcW w:w="224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1157,9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2139,1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18399,4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1579,7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13129,0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lastRenderedPageBreak/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 xml:space="preserve">распределение пара и горячей воды; кондиционирование </w:t>
            </w:r>
            <w:r>
              <w:rPr>
                <w:rFonts w:ascii="Arial" w:hAnsi="Arial" w:cs="Arial"/>
                <w:iCs/>
              </w:rPr>
              <w:br/>
              <w:t>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5270,4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6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  <w:t>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1370,5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066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Январь-октябрь</w:t>
            </w:r>
            <w:r>
              <w:rPr>
                <w:rFonts w:ascii="Arial" w:eastAsia="Arial Unicode MS" w:hAnsi="Arial" w:cs="Arial"/>
                <w:i/>
              </w:rPr>
              <w:br/>
              <w:t>2024г.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январю-октябрю 2023г.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60" w:after="6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726,2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673,7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69944,2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64389,3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3450,7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1248,5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780,7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4912,3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487,7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2676,3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1883,0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794,0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1,1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1" w:name="_Toc182236577"/>
      <w:r>
        <w:rPr>
          <w:i w:val="0"/>
        </w:rPr>
        <w:t>3. РЫБОЛОВСТВО</w:t>
      </w:r>
      <w:bookmarkEnd w:id="11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январе-октябре 2024 года отгружено товаров собственного пр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изводства, выполнено работ и услуг на 10930,6 млн рублей, что на 18,6% н</w:t>
      </w:r>
      <w:r>
        <w:rPr>
          <w:rFonts w:ascii="Arial" w:hAnsi="Arial" w:cs="Arial"/>
          <w:color w:val="000000" w:themeColor="text1"/>
        </w:rPr>
        <w:t>и</w:t>
      </w:r>
      <w:r>
        <w:rPr>
          <w:rFonts w:ascii="Arial" w:hAnsi="Arial" w:cs="Arial"/>
          <w:color w:val="000000" w:themeColor="text1"/>
        </w:rPr>
        <w:t>же уровня соответствующего периода предыдущего года.</w:t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январе-ОКТЯБРе 2024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январю-октябрю 2023г.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62729,8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4021,1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рыболовства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пресноводная свежая или охл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жденная, не являющаяся продукцией </w:t>
            </w:r>
            <w:r>
              <w:rPr>
                <w:rFonts w:ascii="Arial" w:hAnsi="Arial" w:cs="Arial"/>
              </w:rPr>
              <w:br/>
              <w:t>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12302,6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</w:tr>
    </w:tbl>
    <w:bookmarkEnd w:id="12"/>
    <w:bookmarkEnd w:id="13"/>
    <w:bookmarkEnd w:id="14"/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b/>
          <w:bCs/>
          <w:iCs/>
          <w:sz w:val="28"/>
          <w:szCs w:val="28"/>
        </w:rPr>
      </w:pPr>
      <w:bookmarkStart w:id="15" w:name="_Toc149315970"/>
      <w:r>
        <w:rPr>
          <w:i/>
        </w:rPr>
        <w:br w:type="page"/>
      </w:r>
    </w:p>
    <w:p>
      <w:pPr>
        <w:pStyle w:val="2"/>
        <w:tabs>
          <w:tab w:val="center" w:pos="4422"/>
          <w:tab w:val="right" w:pos="8844"/>
        </w:tabs>
        <w:spacing w:before="320" w:after="200"/>
        <w:jc w:val="center"/>
        <w:rPr>
          <w:i w:val="0"/>
        </w:rPr>
      </w:pPr>
      <w:bookmarkStart w:id="16" w:name="_Toc182236578"/>
      <w:bookmarkEnd w:id="15"/>
      <w:r>
        <w:rPr>
          <w:i w:val="0"/>
        </w:rPr>
        <w:lastRenderedPageBreak/>
        <w:t>4. СТРОИТЕЛЬСТВО</w:t>
      </w:r>
      <w:bookmarkEnd w:id="16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7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октябре 2024г. составил </w:t>
      </w:r>
      <w:r>
        <w:rPr>
          <w:rFonts w:ascii="Arial" w:hAnsi="Arial" w:cs="Arial"/>
        </w:rPr>
        <w:t xml:space="preserve">3403,6 </w:t>
      </w:r>
      <w:r>
        <w:rPr>
          <w:rFonts w:ascii="Arial" w:hAnsi="Arial" w:cs="Arial"/>
          <w:kern w:val="24"/>
        </w:rPr>
        <w:t>млн рублей, или 115,4% (в сопоставимых ценах) к октябрю 2023г., в январе-октябре 2024г. – 26057,0 млн рублей, или 71,9%.</w:t>
      </w:r>
    </w:p>
    <w:p>
      <w:pPr>
        <w:spacing w:before="20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05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224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  <w:lang w:val="en-US"/>
              </w:rPr>
              <w:t>032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359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  <w:r>
              <w:rPr>
                <w:rFonts w:ascii="Arial" w:hAnsi="Arial" w:cs="Arial"/>
                <w:lang w:val="en-US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в 2,7 р</w:t>
            </w:r>
            <w:r>
              <w:rPr>
                <w:rFonts w:ascii="Arial" w:hAnsi="Arial" w:cs="Arial"/>
                <w:b/>
                <w:lang w:val="en-US"/>
              </w:rPr>
              <w:t>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15079,6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3,4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40361,2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в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 xml:space="preserve">6 </w:t>
            </w:r>
            <w:r>
              <w:rPr>
                <w:rFonts w:ascii="Arial" w:hAnsi="Arial" w:cs="Arial"/>
                <w:lang w:val="en-US"/>
              </w:rPr>
              <w:t>р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6922,9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4891,5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1923,2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9370,1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6360,4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22653,4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3403,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26057,0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b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январе-октябре 2024г. введено 29 домов общей площадью 8727 кв. метров, или 92,6% к январю-октябрю 2023г.  В том числе населением введено 27 домов общей площадью жилых помещений 4009 кв. метров, или 91,3% к январю-октябрю 2023г. Из них 1267 кв. метров составляет прирост за счет реконструкции и изменения прежних значений в ранее построенных домах.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566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5811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191,1 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3,2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9,5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5,4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43,3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8727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18" w:name="_Toc182236579"/>
      <w:r>
        <w:rPr>
          <w:i w:val="0"/>
        </w:rPr>
        <w:t>5. АВТОМОБИЛЬНЫЙ ТРАНСПОРТ</w:t>
      </w:r>
      <w:bookmarkEnd w:id="18"/>
    </w:p>
    <w:bookmarkEnd w:id="17"/>
    <w:p>
      <w:pPr>
        <w:spacing w:before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07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октябрю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2024г.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январю-октябрю 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3277,9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335,1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86,2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7"/>
        <w:gridCol w:w="3566"/>
      </w:tblGrid>
      <w:tr>
        <w:trPr>
          <w:cantSplit/>
          <w:trHeight w:val="975"/>
          <w:tblHeader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187,3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165,7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335,1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</w:tr>
    </w:tbl>
    <w:p>
      <w:pPr>
        <w:ind w:firstLine="720"/>
        <w:jc w:val="both"/>
        <w:rPr>
          <w:rFonts w:ascii="Arial" w:hAnsi="Arial" w:cs="Arial"/>
          <w:b/>
          <w:lang w:eastAsia="x-none"/>
        </w:rPr>
      </w:pPr>
    </w:p>
    <w:p>
      <w:pPr>
        <w:ind w:firstLine="720"/>
        <w:jc w:val="both"/>
        <w:rPr>
          <w:rFonts w:ascii="Arial" w:hAnsi="Arial" w:cs="Arial"/>
          <w:b/>
          <w:lang w:eastAsia="x-none"/>
        </w:rPr>
      </w:pPr>
    </w:p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2078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октябрю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январю-октябрю 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4272,6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101,6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</w:tr>
    </w:tbl>
    <w:p>
      <w:pPr>
        <w:rPr>
          <w:rFonts w:ascii="Arial" w:hAnsi="Arial" w:cs="Arial"/>
          <w:b/>
          <w:bCs/>
          <w:kern w:val="32"/>
          <w:sz w:val="16"/>
          <w:szCs w:val="16"/>
        </w:rPr>
      </w:pPr>
      <w: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9" w:name="_Toc182236580"/>
      <w:r>
        <w:rPr>
          <w:lang w:val="en-US"/>
        </w:rPr>
        <w:lastRenderedPageBreak/>
        <w:t>III</w:t>
      </w:r>
      <w:r>
        <w:t>. РЫНКИ ТОВАРОВ И УСЛУГ</w:t>
      </w:r>
      <w:bookmarkEnd w:id="19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20" w:name="_Toc182236581"/>
      <w:bookmarkStart w:id="21" w:name="_Toc347145697"/>
      <w:r>
        <w:rPr>
          <w:i w:val="0"/>
          <w:color w:val="000000" w:themeColor="text1"/>
        </w:rPr>
        <w:t>1. РОЗНИЧНАЯ ТОРГОВЛЯ</w:t>
      </w:r>
      <w:bookmarkEnd w:id="20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октябре 2024г. составил 4766,7 </w:t>
      </w:r>
      <w:r>
        <w:rPr>
          <w:rFonts w:ascii="Arial" w:hAnsi="Arial" w:cs="Arial"/>
          <w:kern w:val="24"/>
        </w:rPr>
        <w:t xml:space="preserve">млн рублей, или 108,0%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январе-октябре 2024г. – 45330,8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105,9%.</w:t>
      </w:r>
    </w:p>
    <w:p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57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5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6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11458,7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23247,9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12560,5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35808,4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4652,0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12942,9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48751,3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6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4293,2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4390,0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4486,1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4575,3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13451,4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26539,1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4671,9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14025,0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40564,1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4766,7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45330,8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</w:tbl>
    <w:p>
      <w:pPr>
        <w:rPr>
          <w:rFonts w:ascii="Arial" w:hAnsi="Arial" w:cs="Arial"/>
          <w:kern w:val="24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>В январе-октябре 2024г. оборот розничной торговли на 99,94% форм</w:t>
      </w:r>
      <w:r>
        <w:rPr>
          <w:rFonts w:ascii="Arial" w:hAnsi="Arial" w:cs="Arial"/>
          <w:kern w:val="24"/>
        </w:rPr>
        <w:t>и</w:t>
      </w:r>
      <w:r>
        <w:rPr>
          <w:rFonts w:ascii="Arial" w:hAnsi="Arial" w:cs="Arial"/>
          <w:kern w:val="24"/>
        </w:rPr>
        <w:t xml:space="preserve">ровался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</w:t>
      </w:r>
      <w:r>
        <w:rPr>
          <w:rFonts w:ascii="Arial" w:hAnsi="Arial" w:cs="Arial"/>
          <w:b/>
          <w:kern w:val="24"/>
        </w:rPr>
        <w:t>а</w:t>
      </w:r>
      <w:r>
        <w:rPr>
          <w:rFonts w:ascii="Arial" w:hAnsi="Arial" w:cs="Arial"/>
          <w:b/>
          <w:kern w:val="24"/>
        </w:rPr>
        <w:t>телями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</w:t>
      </w:r>
      <w:r>
        <w:rPr>
          <w:rFonts w:ascii="Arial" w:hAnsi="Arial" w:cs="Arial"/>
          <w:b/>
          <w:kern w:val="24"/>
        </w:rPr>
        <w:t>н</w:t>
      </w:r>
      <w:r>
        <w:rPr>
          <w:rFonts w:ascii="Arial" w:hAnsi="Arial" w:cs="Arial"/>
          <w:b/>
          <w:kern w:val="24"/>
        </w:rPr>
        <w:t>ков и ярмарок составила</w:t>
      </w:r>
      <w:r>
        <w:rPr>
          <w:rFonts w:ascii="Arial" w:hAnsi="Arial" w:cs="Arial"/>
          <w:kern w:val="24"/>
        </w:rPr>
        <w:t xml:space="preserve"> 0,06%.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086"/>
        <w:gridCol w:w="1493"/>
        <w:gridCol w:w="1495"/>
        <w:gridCol w:w="1493"/>
        <w:gridCol w:w="1493"/>
      </w:tblGrid>
      <w:tr>
        <w:trPr>
          <w:trHeight w:val="476"/>
          <w:tblHeader/>
          <w:jc w:val="center"/>
        </w:trPr>
        <w:tc>
          <w:tcPr>
            <w:tcW w:w="170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4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</w:t>
            </w:r>
          </w:p>
        </w:tc>
        <w:tc>
          <w:tcPr>
            <w:tcW w:w="164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2024г.</w:t>
            </w:r>
          </w:p>
        </w:tc>
      </w:tr>
      <w:tr>
        <w:trPr>
          <w:trHeight w:val="1064"/>
          <w:tblHeader/>
          <w:jc w:val="center"/>
        </w:trPr>
        <w:tc>
          <w:tcPr>
            <w:tcW w:w="170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октябрю 2023г.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январю-октябрю 2023г.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4766,7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45330,8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105,9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4764,8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45304,6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106,0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 xml:space="preserve">на розничных рынках и </w:t>
            </w:r>
            <w:r>
              <w:rPr>
                <w:rFonts w:ascii="Arial" w:hAnsi="Arial" w:cs="Arial"/>
              </w:rPr>
              <w:br/>
              <w:t>ярмарках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75,3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январе-октябре 2024г.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вил 49,9%,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50,1% (в январе-октябре 2023г. – 51,9% и 48,1% соответственно).</w:t>
      </w:r>
    </w:p>
    <w:p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>ДИНАМИКА ОБОРОТА РОЗНИЧНОЙ ТОРГОВЛИ ПИЩЕВЫМИ</w:t>
      </w:r>
      <w:r>
        <w:rPr>
          <w:rFonts w:ascii="Arial" w:hAnsi="Arial" w:cs="Arial"/>
          <w:b/>
          <w:kern w:val="24"/>
        </w:rPr>
        <w:br/>
        <w:t>ПРОДУКТАМИ, ВКЛЮЧАЯ НАПИТКИ, 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5896,5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2095,3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6194,8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18634,2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25080,2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6387,3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2290,3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13203,0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2313,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2346,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7032,4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22621,7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>
      <w:pPr>
        <w:spacing w:before="360" w:after="120"/>
        <w:jc w:val="center"/>
        <w:rPr>
          <w:rFonts w:ascii="Arial" w:hAnsi="Arial" w:cs="Arial"/>
          <w:b/>
        </w:rPr>
      </w:pPr>
      <w:bookmarkStart w:id="22" w:name="_Toc73090105"/>
      <w:bookmarkStart w:id="23" w:name="_Toc1547765"/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1825,8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1854,6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5594,4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11156,6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2034,3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6017,6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17174,2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6496,9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23671,1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2203,1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2278,1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6700,4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2195,8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6635,7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13336,1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2304,7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102,4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6992,6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20328,7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2380,4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22709,1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bookmarkEnd w:id="22"/>
    </w:tbl>
    <w:p/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120" w:after="120"/>
        <w:jc w:val="center"/>
        <w:rPr>
          <w:i w:val="0"/>
        </w:rPr>
      </w:pPr>
      <w:bookmarkStart w:id="24" w:name="_Toc182236582"/>
      <w:r>
        <w:rPr>
          <w:i w:val="0"/>
        </w:rPr>
        <w:lastRenderedPageBreak/>
        <w:t>2. РЕСТОРАНЫ, КАФЕ И БАРЫ</w:t>
      </w:r>
      <w:bookmarkEnd w:id="24"/>
    </w:p>
    <w:p>
      <w:pPr>
        <w:spacing w:before="240"/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 xml:space="preserve">Оборот общественного питания </w:t>
      </w:r>
      <w:r>
        <w:rPr>
          <w:rFonts w:ascii="Arial" w:hAnsi="Arial" w:cs="Arial"/>
        </w:rPr>
        <w:t xml:space="preserve">в октябре  2024г. составил - 453,1 </w:t>
      </w:r>
      <w:r>
        <w:rPr>
          <w:rFonts w:ascii="Arial" w:hAnsi="Arial" w:cs="Arial"/>
          <w:kern w:val="24"/>
        </w:rPr>
        <w:t xml:space="preserve">млн рублей, или 106,2%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январе-октябре 2024г. – 3984,7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100,9%.</w:t>
      </w:r>
    </w:p>
    <w:p>
      <w:pPr>
        <w:tabs>
          <w:tab w:val="left" w:pos="6237"/>
        </w:tabs>
        <w:spacing w:before="12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8046" w:type="pct"/>
        <w:tblLayout w:type="fixed"/>
        <w:tblLook w:val="01E0" w:firstRow="1" w:lastRow="1" w:firstColumn="1" w:lastColumn="1" w:noHBand="0" w:noVBand="0"/>
      </w:tblPr>
      <w:tblGrid>
        <w:gridCol w:w="2808"/>
        <w:gridCol w:w="1980"/>
        <w:gridCol w:w="2134"/>
        <w:gridCol w:w="2137"/>
        <w:gridCol w:w="1840"/>
        <w:gridCol w:w="1840"/>
        <w:gridCol w:w="1840"/>
      </w:tblGrid>
      <w:tr>
        <w:trPr>
          <w:gridAfter w:val="3"/>
          <w:wAfter w:w="1893" w:type="pct"/>
          <w:trHeight w:val="337"/>
          <w:tblHeader/>
        </w:trPr>
        <w:tc>
          <w:tcPr>
            <w:tcW w:w="9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46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gridAfter w:val="3"/>
          <w:wAfter w:w="1893" w:type="pct"/>
          <w:trHeight w:val="1098"/>
          <w:tblHeader/>
        </w:trPr>
        <w:tc>
          <w:tcPr>
            <w:tcW w:w="9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gridAfter w:val="3"/>
          <w:wAfter w:w="1893" w:type="pct"/>
        </w:trPr>
        <w:tc>
          <w:tcPr>
            <w:tcW w:w="3107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1083,0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420,1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87,9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1134,4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2217,4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387,7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1191,5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3408,9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109,9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114,7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c>
          <w:tcPr>
            <w:tcW w:w="31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378,6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354,3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376,0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420,1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408,2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1237,9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2346,8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412,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1184,8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3531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453,1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114,4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3984,7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5" w:name="_Toc182236583"/>
      <w:r>
        <w:rPr>
          <w:i w:val="0"/>
        </w:rPr>
        <w:lastRenderedPageBreak/>
        <w:t>3. РЫНОК ПЛАТНЫХ УСЛУГ НАСЕЛЕНИЮ</w:t>
      </w:r>
      <w:bookmarkEnd w:id="23"/>
      <w:bookmarkEnd w:id="25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октябре 2024г. населению было предоставлено платных услуг на сумму 1491,9 млн рублей, что в сопоставимых ценах составило 102,3% к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ответствующему периоду предыдущего года, в январе-октябре 2024г. </w:t>
      </w:r>
      <w:r>
        <w:rPr>
          <w:rFonts w:ascii="Arial" w:hAnsi="Arial" w:cs="Arial"/>
          <w:kern w:val="24"/>
          <w:sz w:val="24"/>
          <w:szCs w:val="24"/>
        </w:rPr>
        <w:t>– 14226,8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101,6%. Объем платных услуг, оказанных в среднем одному жителю области, составил 106315 рублей и по сравнению с январем-октябрем 2023г. увеличился на 2,1%.</w:t>
      </w:r>
    </w:p>
    <w:p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64"/>
        <w:gridCol w:w="1064"/>
        <w:gridCol w:w="1064"/>
        <w:gridCol w:w="1064"/>
        <w:gridCol w:w="1064"/>
        <w:gridCol w:w="1064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2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</w:t>
            </w:r>
          </w:p>
        </w:tc>
        <w:tc>
          <w:tcPr>
            <w:tcW w:w="42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2024г.</w:t>
            </w:r>
          </w:p>
        </w:tc>
      </w:tr>
      <w:tr>
        <w:trPr>
          <w:trHeight w:val="1125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октя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2023г.,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став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январю-октябрю 2023г.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>
        <w:trPr>
          <w:trHeight w:val="133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1491,9</w:t>
            </w:r>
          </w:p>
        </w:tc>
        <w:tc>
          <w:tcPr>
            <w:tcW w:w="10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0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14226,8</w:t>
            </w:r>
          </w:p>
        </w:tc>
        <w:tc>
          <w:tcPr>
            <w:tcW w:w="10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0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0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1716,7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1500,6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 xml:space="preserve">курьерской 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1783,5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489,8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4529,7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470,9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фитнес-центров и спортивных клубов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144,6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1320,7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ветеринарные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614,4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мационно-коммуни-кационных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12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color w:val="000000"/>
          <w:sz w:val="22"/>
          <w:szCs w:val="22"/>
        </w:rPr>
        <w:t>Данные уточнены после получения итогов годового сплошного статистического наблюдения за организациями, не относящимися к субъектам малого предприн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мательства, и ежегодных выборочных обследований малых предприятий, и инд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видуальных  предпринимателей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6" w:name="_Toc347145703"/>
      <w:bookmarkStart w:id="27" w:name="_Toc443379907"/>
      <w:bookmarkStart w:id="28" w:name="_Toc454202430"/>
      <w:bookmarkStart w:id="29" w:name="_Toc51231243"/>
      <w:bookmarkStart w:id="30" w:name="_Toc57904773"/>
      <w:bookmarkStart w:id="31" w:name="_Toc65161990"/>
      <w:bookmarkStart w:id="32" w:name="_Toc75942326"/>
      <w:bookmarkStart w:id="33" w:name="_Toc81297692"/>
      <w:bookmarkStart w:id="34" w:name="_Toc88487234"/>
      <w:bookmarkStart w:id="35" w:name="_Toc99741501"/>
      <w:bookmarkStart w:id="36" w:name="_Toc129964438"/>
      <w:bookmarkStart w:id="37" w:name="_Toc135815583"/>
      <w:bookmarkStart w:id="38" w:name="_Toc167199652"/>
      <w:bookmarkStart w:id="39" w:name="_Toc175565859"/>
      <w:bookmarkStart w:id="40" w:name="_Toc182236584"/>
      <w:r>
        <w:rPr>
          <w:lang w:val="en-US"/>
        </w:rPr>
        <w:lastRenderedPageBreak/>
        <w:t>IV</w:t>
      </w:r>
      <w:r>
        <w:t xml:space="preserve">. </w:t>
      </w:r>
      <w:bookmarkEnd w:id="26"/>
      <w:bookmarkEnd w:id="27"/>
      <w:bookmarkEnd w:id="28"/>
      <w:r>
        <w:t>ИНВЕСТИЦИИ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>
      <w:pPr>
        <w:keepNext/>
        <w:spacing w:before="24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ИНВЕСТИЦИЙ В ОСНОВНОЙ КАПИТАЛ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  <w:r>
              <w:rPr>
                <w:rFonts w:ascii="Arial" w:hAnsi="Arial" w:cs="Arial"/>
                <w:i/>
                <w:vertAlign w:val="superscript"/>
              </w:rPr>
              <w:t>2)</w:t>
            </w:r>
          </w:p>
        </w:tc>
      </w:tr>
      <w:tr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12324,4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35010,6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61124,5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97144,3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14719,6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40302,6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65983</w:t>
            </w:r>
            <w:r>
              <w:rPr>
                <w:rFonts w:ascii="Arial" w:hAnsi="Arial" w:cs="Arial"/>
              </w:rPr>
              <w:t>,7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СТРУКТУРА ИНВЕСТИЦИЙ В ОСНОВНОЙ КАПИТАЛ</w:t>
      </w:r>
      <w:r>
        <w:rPr>
          <w:rFonts w:ascii="Arial" w:hAnsi="Arial" w:cs="Arial"/>
          <w:b/>
        </w:rPr>
        <w:br/>
        <w:t>ПО ИСТОЧНИКАМ ФИНАНСИРОВАНИЯ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2024г.</w:t>
            </w:r>
          </w:p>
        </w:tc>
      </w:tr>
      <w:tr>
        <w:trPr>
          <w:cantSplit/>
          <w:trHeight w:val="704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итогу</w:t>
            </w:r>
          </w:p>
        </w:tc>
      </w:tr>
      <w:tr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52500,0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34269,1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65,3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18230,9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34,7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5329,6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10,2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7423,1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14,1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 w:firstLine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4352,3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бюджетов субъектов Российской </w:t>
            </w:r>
            <w:r>
              <w:rPr>
                <w:rFonts w:ascii="Arial" w:hAnsi="Arial" w:cs="Arial"/>
              </w:rPr>
              <w:br/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2835,9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>
        <w:rPr>
          <w:rFonts w:ascii="Arial" w:hAnsi="Arial" w:cs="Arial"/>
          <w:i/>
          <w:sz w:val="22"/>
          <w:szCs w:val="22"/>
        </w:rPr>
        <w:t>ю</w:t>
      </w:r>
      <w:r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№282-ФЗ «Об официальном статистичес-ком учете и системе государственной статистики в Российской Федерации» (п.5 ст. 4; п.1 ст. 9).</w:t>
      </w: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41" w:name="_Toc182236585"/>
      <w:bookmarkEnd w:id="21"/>
      <w:r>
        <w:rPr>
          <w:lang w:val="en-US"/>
        </w:rPr>
        <w:lastRenderedPageBreak/>
        <w:t>V</w:t>
      </w:r>
      <w:r>
        <w:t>. ЦЕНЫ</w:t>
      </w:r>
      <w:bookmarkEnd w:id="41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>
        <w:trPr>
          <w:trHeight w:val="356"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 к</w:t>
            </w:r>
          </w:p>
        </w:tc>
      </w:tr>
      <w:tr>
        <w:trPr>
          <w:trHeight w:val="552"/>
          <w:jc w:val="center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107,4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132,3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122,5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  <w:t>назначения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101,8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107,9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108,4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99,0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106,2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110,1</w:t>
            </w:r>
          </w:p>
        </w:tc>
      </w:tr>
      <w:tr>
        <w:trPr>
          <w:jc w:val="center"/>
        </w:trPr>
        <w:tc>
          <w:tcPr>
            <w:tcW w:w="2407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  <w:t>перевозки</w:t>
            </w:r>
          </w:p>
        </w:tc>
        <w:tc>
          <w:tcPr>
            <w:tcW w:w="864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864" w:type="pct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128,5</w:t>
            </w:r>
          </w:p>
        </w:tc>
        <w:tc>
          <w:tcPr>
            <w:tcW w:w="865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128,4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42" w:name="_Toc182236586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42"/>
    </w:p>
    <w:p>
      <w:pPr>
        <w:ind w:firstLine="720"/>
        <w:jc w:val="both"/>
        <w:rPr>
          <w:rFonts w:ascii="Arial" w:hAnsi="Arial" w:cs="Arial"/>
          <w:color w:val="000000"/>
          <w:kern w:val="24"/>
        </w:rPr>
      </w:pPr>
      <w:r>
        <w:rPr>
          <w:rFonts w:ascii="Arial" w:hAnsi="Arial" w:cs="Arial"/>
          <w:color w:val="000000"/>
          <w:kern w:val="24"/>
        </w:rPr>
        <w:t xml:space="preserve">В октябре 2024г. </w:t>
      </w:r>
      <w:r>
        <w:rPr>
          <w:rFonts w:ascii="Arial" w:hAnsi="Arial" w:cs="Arial"/>
          <w:b/>
          <w:color w:val="000000"/>
          <w:kern w:val="24"/>
        </w:rPr>
        <w:t>индекс потребительских цен</w:t>
      </w:r>
      <w:r>
        <w:rPr>
          <w:rFonts w:ascii="Arial" w:hAnsi="Arial" w:cs="Arial"/>
          <w:color w:val="000000"/>
          <w:kern w:val="24"/>
        </w:rPr>
        <w:t xml:space="preserve"> составил 102,1%, </w:t>
      </w:r>
      <w:r>
        <w:rPr>
          <w:rFonts w:ascii="Arial" w:hAnsi="Arial" w:cs="Arial"/>
          <w:color w:val="000000"/>
          <w:kern w:val="24"/>
        </w:rPr>
        <w:br/>
        <w:t>в том числе на продовольственные товары – 100,5%, непродовольственные товары – 103,3%, услуги – 102,2%.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110,8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октябре </w:t>
      </w:r>
      <w:r>
        <w:rPr>
          <w:rFonts w:ascii="Arial" w:hAnsi="Arial" w:cs="Arial"/>
          <w:kern w:val="24"/>
        </w:rPr>
        <w:t>2024г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0,5%.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3"/>
        <w:gridCol w:w="1662"/>
        <w:gridCol w:w="1662"/>
        <w:gridCol w:w="1663"/>
      </w:tblGrid>
      <w:tr>
        <w:trPr>
          <w:trHeight w:val="356"/>
          <w:tblHeader/>
        </w:trPr>
        <w:tc>
          <w:tcPr>
            <w:tcW w:w="224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 к</w:t>
            </w:r>
          </w:p>
        </w:tc>
      </w:tr>
      <w:tr>
        <w:trPr>
          <w:trHeight w:val="606"/>
          <w:tblHeader/>
        </w:trPr>
        <w:tc>
          <w:tcPr>
            <w:tcW w:w="224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2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91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112,3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111,2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113,8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95,9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111,8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94,3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918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Стоимость минимального набора продуктов питания </w:t>
      </w:r>
      <w:r>
        <w:rPr>
          <w:rFonts w:ascii="Arial" w:hAnsi="Arial" w:cs="Arial"/>
          <w:color w:val="000000"/>
        </w:rPr>
        <w:t>в расчёте на месяц в среднем по Магаданской области в конце октября 2024г. составила 11152,12 рубля.</w:t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октябре 2024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11152,12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10975,58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11402,57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11066,25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Цены на </w:t>
      </w:r>
      <w:r>
        <w:rPr>
          <w:rFonts w:ascii="Arial" w:hAnsi="Arial" w:cs="Arial"/>
          <w:b/>
          <w:bCs/>
          <w:color w:val="000000"/>
        </w:rPr>
        <w:t>непродовольственные товары</w:t>
      </w:r>
      <w:r>
        <w:rPr>
          <w:rFonts w:ascii="Arial" w:hAnsi="Arial" w:cs="Arial"/>
          <w:color w:val="000000"/>
        </w:rPr>
        <w:t xml:space="preserve"> в октябре </w:t>
      </w:r>
      <w:r>
        <w:rPr>
          <w:rFonts w:ascii="Arial" w:hAnsi="Arial" w:cs="Arial"/>
          <w:color w:val="000000"/>
          <w:kern w:val="24"/>
        </w:rPr>
        <w:t>2024г</w:t>
      </w:r>
      <w:r>
        <w:rPr>
          <w:rFonts w:ascii="Arial" w:hAnsi="Arial" w:cs="Arial"/>
          <w:color w:val="000000"/>
        </w:rPr>
        <w:t>. по сравн</w:t>
      </w:r>
      <w:r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нию с предыдущим месяцем увеличились на 3,3%.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709"/>
        <w:gridCol w:w="1709"/>
        <w:gridCol w:w="1707"/>
      </w:tblGrid>
      <w:tr>
        <w:trPr>
          <w:trHeight w:val="420"/>
        </w:trPr>
        <w:tc>
          <w:tcPr>
            <w:tcW w:w="217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28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 к</w:t>
            </w:r>
          </w:p>
        </w:tc>
      </w:tr>
      <w:tr>
        <w:trPr>
          <w:trHeight w:val="483"/>
        </w:trPr>
        <w:tc>
          <w:tcPr>
            <w:tcW w:w="217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17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9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95,6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86,0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93,3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103,3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98,1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94,8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октябре </w:t>
      </w:r>
      <w:r>
        <w:rPr>
          <w:rFonts w:ascii="Arial" w:hAnsi="Arial" w:cs="Arial"/>
          <w:kern w:val="24"/>
        </w:rPr>
        <w:t>2024г.</w:t>
      </w:r>
      <w:r>
        <w:rPr>
          <w:rFonts w:ascii="Arial" w:hAnsi="Arial" w:cs="Arial"/>
        </w:rPr>
        <w:t xml:space="preserve"> по сравнению с предыд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щим месяцем увеличились на 2,2%.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1727"/>
        <w:gridCol w:w="1729"/>
        <w:gridCol w:w="1727"/>
      </w:tblGrid>
      <w:tr>
        <w:trPr>
          <w:trHeight w:val="435"/>
          <w:tblHeader/>
        </w:trPr>
        <w:tc>
          <w:tcPr>
            <w:tcW w:w="2140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0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 к</w:t>
            </w:r>
          </w:p>
        </w:tc>
      </w:tr>
      <w:tr>
        <w:trPr>
          <w:trHeight w:val="562"/>
          <w:tblHeader/>
        </w:trPr>
        <w:tc>
          <w:tcPr>
            <w:tcW w:w="214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114,1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112,1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117,2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103,9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126,8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121,4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130,2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122,2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122,4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114,9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43" w:name="_Toc182236587"/>
      <w:r>
        <w:rPr>
          <w:i w:val="0"/>
        </w:rPr>
        <w:t>2. ЦЕНЫ ПРОИЗВОДИТЕЛЕЙ</w:t>
      </w:r>
      <w:bookmarkEnd w:id="43"/>
    </w:p>
    <w:p>
      <w:pPr>
        <w:widowControl w:val="0"/>
        <w:shd w:val="clear" w:color="auto" w:fill="FFFFFF"/>
        <w:spacing w:before="40" w:after="40"/>
        <w:ind w:firstLine="709"/>
        <w:jc w:val="both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b/>
          <w:bCs/>
          <w:color w:val="000000"/>
        </w:rPr>
        <w:t>Индекс цен производителей промышленных товаров</w:t>
      </w:r>
      <w:r>
        <w:rPr>
          <w:rFonts w:ascii="Arial" w:hAnsi="Arial" w:cs="Arial"/>
          <w:color w:val="000000"/>
        </w:rPr>
        <w:t xml:space="preserve"> в октябре 2024г. относительно предыдущего месяца, по предварительным данным, с</w:t>
      </w:r>
      <w:r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>ставил 107,4%, в том числе в добыче полезных ископаемых – 100,0%, в обр</w:t>
      </w:r>
      <w:r>
        <w:rPr>
          <w:rFonts w:ascii="Arial" w:hAnsi="Arial" w:cs="Arial"/>
          <w:color w:val="000000"/>
        </w:rPr>
        <w:t>а</w:t>
      </w:r>
      <w:r>
        <w:rPr>
          <w:rFonts w:ascii="Arial" w:hAnsi="Arial" w:cs="Arial"/>
          <w:color w:val="000000"/>
        </w:rPr>
        <w:t>батывающих производствах – 108,3%, в обеспечении электрической энерг</w:t>
      </w:r>
      <w:r>
        <w:rPr>
          <w:rFonts w:ascii="Arial" w:hAnsi="Arial" w:cs="Arial"/>
          <w:color w:val="000000"/>
        </w:rPr>
        <w:t>и</w:t>
      </w:r>
      <w:r>
        <w:rPr>
          <w:rFonts w:ascii="Arial" w:hAnsi="Arial" w:cs="Arial"/>
          <w:color w:val="000000"/>
        </w:rPr>
        <w:t>ей, газом и паром; кондиционировании воздуха – 105,0%, в водоснабжении; водоотведении, организации сбора и утилизации отходов, деятельности по ликвидации загрязнений</w:t>
      </w:r>
      <w:r>
        <w:rPr>
          <w:rFonts w:ascii="Arial" w:hAnsi="Arial" w:cs="Arial"/>
          <w:color w:val="000000"/>
          <w:sz w:val="28"/>
        </w:rPr>
        <w:t xml:space="preserve"> – </w:t>
      </w:r>
      <w:r>
        <w:rPr>
          <w:rFonts w:ascii="Arial" w:hAnsi="Arial" w:cs="Arial"/>
          <w:color w:val="000000"/>
        </w:rPr>
        <w:t>98,6%.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ИЗМЕНЕНИЕ ЦЕН ПРОИЗВОДИТЕЛЕЙ 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46"/>
        <w:gridCol w:w="788"/>
        <w:gridCol w:w="788"/>
        <w:gridCol w:w="788"/>
        <w:gridCol w:w="790"/>
        <w:gridCol w:w="788"/>
        <w:gridCol w:w="788"/>
        <w:gridCol w:w="788"/>
        <w:gridCol w:w="792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82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мых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обеспечение электричес-кой энергией, газом и паром; кондициони-рование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орг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низация сбора и утилизации отходов,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806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130,1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129,8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154,4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124,4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2024г.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99,4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105,9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109,7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109</w:t>
            </w:r>
            <w:r>
              <w:rPr>
                <w:rFonts w:ascii="Arial" w:hAnsi="Arial" w:cs="Arial"/>
                <w:bCs/>
                <w:sz w:val="22"/>
                <w:szCs w:val="22"/>
              </w:rPr>
              <w:t>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122,8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134,3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90,7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111,7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101,8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90,6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106,5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116,4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106,5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123,2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130,2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112,4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46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132,3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108,3</w:t>
            </w:r>
          </w:p>
        </w:tc>
        <w:tc>
          <w:tcPr>
            <w:tcW w:w="4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141,0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98,6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118,0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1471"/>
        <w:gridCol w:w="1471"/>
        <w:gridCol w:w="1473"/>
      </w:tblGrid>
      <w:tr>
        <w:trPr>
          <w:trHeight w:val="449"/>
          <w:tblHeader/>
          <w:jc w:val="center"/>
        </w:trPr>
        <w:tc>
          <w:tcPr>
            <w:tcW w:w="25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7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 к</w:t>
            </w:r>
          </w:p>
        </w:tc>
      </w:tr>
      <w:tr>
        <w:trPr>
          <w:trHeight w:val="812"/>
          <w:tblHeader/>
          <w:jc w:val="center"/>
        </w:trPr>
        <w:tc>
          <w:tcPr>
            <w:tcW w:w="25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126,7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137,1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142,3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813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142,6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октябре 2024г., по предварительным данным, составил 100,0%.</w:t>
      </w:r>
    </w:p>
    <w:p>
      <w:pPr>
        <w:widowControl w:val="0"/>
        <w:spacing w:before="240" w:after="6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trHeight w:val="451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128,3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128,3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98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7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126,7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130,0</w:t>
            </w:r>
          </w:p>
        </w:tc>
      </w:tr>
    </w:tbl>
    <w:p/>
    <w:p>
      <w: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44" w:name="_Toc347145706"/>
      <w:bookmarkStart w:id="45" w:name="_Toc443379910"/>
      <w:bookmarkStart w:id="46" w:name="_Toc472350846"/>
      <w:bookmarkStart w:id="47" w:name="_Toc17209006"/>
      <w:bookmarkStart w:id="48" w:name="_Toc182236588"/>
      <w:r>
        <w:rPr>
          <w:lang w:val="en-US"/>
        </w:rPr>
        <w:lastRenderedPageBreak/>
        <w:t>VI</w:t>
      </w:r>
      <w:r>
        <w:t xml:space="preserve">. </w:t>
      </w:r>
      <w:bookmarkEnd w:id="44"/>
      <w:r>
        <w:t>ФИНАНСОВАЯ</w:t>
      </w:r>
      <w:bookmarkStart w:id="49" w:name="_Toc443379911"/>
      <w:bookmarkStart w:id="50" w:name="_Toc472350847"/>
      <w:bookmarkEnd w:id="45"/>
      <w:bookmarkEnd w:id="46"/>
      <w:r>
        <w:t xml:space="preserve"> ДЕЯТЕЛЬНОСТЬ ОРГАНИЗАЦИЙ</w:t>
      </w:r>
      <w:bookmarkEnd w:id="47"/>
      <w:bookmarkEnd w:id="48"/>
      <w:bookmarkEnd w:id="49"/>
      <w:bookmarkEnd w:id="50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январе-сентябре 2024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944"/>
        <w:gridCol w:w="1425"/>
        <w:gridCol w:w="1235"/>
        <w:gridCol w:w="1152"/>
        <w:gridCol w:w="1152"/>
        <w:gridCol w:w="1152"/>
      </w:tblGrid>
      <w:tr>
        <w:trPr>
          <w:trHeight w:val="2634"/>
          <w:tblHeader/>
          <w:jc w:val="center"/>
        </w:trPr>
        <w:tc>
          <w:tcPr>
            <w:tcW w:w="1624" w:type="pct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6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Сальдо пр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и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681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прибыль-ных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орга-низаций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+104868,0</w:t>
            </w:r>
          </w:p>
        </w:tc>
        <w:tc>
          <w:tcPr>
            <w:tcW w:w="68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113231,3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8363,3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</w:t>
            </w:r>
            <w:r>
              <w:rPr>
                <w:rFonts w:ascii="Arial" w:hAnsi="Arial" w:cs="Arial"/>
              </w:rPr>
              <w:br/>
              <w:t xml:space="preserve">хозяйство, охота, </w:t>
            </w:r>
            <w:r>
              <w:rPr>
                <w:rFonts w:ascii="Arial" w:hAnsi="Arial" w:cs="Arial"/>
              </w:rPr>
              <w:br/>
              <w:t>рыболовство и рыб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водство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+1233,9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+99470,0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101396,6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1926,7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ческой энергией, газом и паром; кондицион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рование воздуха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-4953,9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отведение, организация сбора и утилизации </w:t>
            </w:r>
            <w:r>
              <w:rPr>
                <w:rFonts w:ascii="Arial" w:hAnsi="Arial" w:cs="Arial"/>
              </w:rPr>
              <w:br/>
              <w:t>отходов, деятельность по ликвидации загря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нений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розничная; ремонт </w:t>
            </w:r>
            <w:r>
              <w:rPr>
                <w:rFonts w:ascii="Arial" w:hAnsi="Arial" w:cs="Arial"/>
              </w:rPr>
              <w:br/>
              <w:t>автотранспортных средств и мотоциклов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+5408,1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транспортировка и </w:t>
            </w:r>
            <w:r>
              <w:rPr>
                <w:rFonts w:ascii="Arial" w:hAnsi="Arial" w:cs="Arial"/>
              </w:rPr>
              <w:br/>
              <w:t>хранение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+1875,3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2403,5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528,2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в области информации и связи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финанс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вая и страховая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рациям с недвижимым имуществом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-305,7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</w:t>
            </w:r>
            <w:r>
              <w:rPr>
                <w:rFonts w:ascii="Arial" w:hAnsi="Arial" w:cs="Arial"/>
              </w:rPr>
              <w:t>л</w:t>
            </w:r>
            <w:r>
              <w:rPr>
                <w:rFonts w:ascii="Arial" w:hAnsi="Arial" w:cs="Arial"/>
              </w:rPr>
              <w:t>нительные услуги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предоставление прочих </w:t>
            </w:r>
            <w:r>
              <w:rPr>
                <w:rFonts w:ascii="Arial" w:hAnsi="Arial" w:cs="Arial"/>
              </w:rPr>
              <w:br/>
              <w:t>видов услуг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сентября 2024г.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ствам организаций, по оперативным данным, составила 386776,7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2452,9 млн рублей, или 0,6% от общей суммы </w:t>
      </w:r>
      <w:r>
        <w:rPr>
          <w:rFonts w:ascii="Arial" w:hAnsi="Arial" w:cs="Arial"/>
        </w:rPr>
        <w:br/>
        <w:t xml:space="preserve">задолженности (на конец сентября 2023г. – 0,5%, на конец августа </w:t>
      </w:r>
      <w:r>
        <w:rPr>
          <w:rFonts w:ascii="Arial" w:hAnsi="Arial" w:cs="Arial"/>
        </w:rPr>
        <w:br/>
        <w:t xml:space="preserve">2024г. – 0,5%). </w:t>
      </w: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сентября 2024г., по оперативным данным, составила 112185,1 млн рублей. 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сентября 2024г.,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ным данным, составила 256365,7 млн рублей, из нее просроченная – 5443,5 млн рублей, или 2,1%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сентября 2023г. – 5,2%, на конец августа 2024г. – 2,0%).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Сентябрь 2024г., </w:t>
            </w:r>
            <w:r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782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сентябрю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августу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2024г.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386776,7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112185,1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274591,6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2452,9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117,3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256365,7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5443,5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50,7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1" w:name="_Toc347145707"/>
      <w:bookmarkStart w:id="52" w:name="_Toc443379912"/>
      <w:bookmarkStart w:id="53" w:name="_Toc472350848"/>
      <w:bookmarkStart w:id="54" w:name="_Toc182236589"/>
      <w:r>
        <w:rPr>
          <w:lang w:val="en-US"/>
        </w:rPr>
        <w:lastRenderedPageBreak/>
        <w:t>VII</w:t>
      </w:r>
      <w:r>
        <w:t>. УРОВЕНЬ ЖИЗНИ НАСЕЛЕНИЯ</w:t>
      </w:r>
      <w:bookmarkEnd w:id="51"/>
      <w:bookmarkEnd w:id="52"/>
      <w:bookmarkEnd w:id="53"/>
      <w:bookmarkEnd w:id="54"/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ОСНОВНЫЕ ПОКАЗАТЕЛИ, ХАРАКТЕРИЗУЮЩИЕ </w:t>
      </w:r>
      <w:r>
        <w:rPr>
          <w:rFonts w:ascii="Arial" w:hAnsi="Arial" w:cs="Arial"/>
          <w:b/>
        </w:rPr>
        <w:br/>
        <w:t>УРОВЕНЬ ЖИЗНИ НАСЕЛЕНИЯ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0"/>
        <w:gridCol w:w="1419"/>
        <w:gridCol w:w="1285"/>
        <w:gridCol w:w="1285"/>
        <w:gridCol w:w="1421"/>
      </w:tblGrid>
      <w:tr>
        <w:trPr>
          <w:trHeight w:val="299"/>
          <w:tblHeader/>
          <w:jc w:val="center"/>
        </w:trPr>
        <w:tc>
          <w:tcPr>
            <w:tcW w:w="2015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83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II</w:t>
            </w:r>
            <w:r>
              <w:rPr>
                <w:rFonts w:ascii="Arial" w:hAnsi="Arial" w:cs="Arial"/>
                <w:i/>
              </w:rPr>
              <w:t>I ква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тал 2024г.</w:t>
            </w:r>
          </w:p>
        </w:tc>
        <w:tc>
          <w:tcPr>
            <w:tcW w:w="1418" w:type="pct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84" w:type="pct"/>
            <w:vMerge w:val="restart"/>
            <w:tcBorders>
              <w:top w:val="double" w:sz="4" w:space="0" w:color="auto"/>
            </w:tcBorders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2024г.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январю-сентябрю 2023г.</w:t>
            </w:r>
          </w:p>
        </w:tc>
      </w:tr>
      <w:tr>
        <w:trPr>
          <w:trHeight w:val="691"/>
          <w:jc w:val="center"/>
        </w:trPr>
        <w:tc>
          <w:tcPr>
            <w:tcW w:w="2015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83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III</w:t>
            </w:r>
            <w:r>
              <w:rPr>
                <w:rFonts w:ascii="Arial" w:hAnsi="Arial" w:cs="Arial"/>
                <w:i/>
              </w:rPr>
              <w:t xml:space="preserve"> ква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талу 2023г.</w:t>
            </w:r>
          </w:p>
        </w:tc>
        <w:tc>
          <w:tcPr>
            <w:tcW w:w="709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II</w:t>
            </w:r>
            <w:r>
              <w:rPr>
                <w:rFonts w:ascii="Arial" w:hAnsi="Arial" w:cs="Arial"/>
                <w:i/>
              </w:rPr>
              <w:t xml:space="preserve"> ква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талу 2024г.</w:t>
            </w:r>
          </w:p>
        </w:tc>
        <w:tc>
          <w:tcPr>
            <w:tcW w:w="784" w:type="pct"/>
            <w:vMerge/>
            <w:tcBorders>
              <w:bottom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0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ind w:right="-113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 xml:space="preserve">Денежные доходы (в среднем на душу населения), рублей </w:t>
            </w:r>
            <w:r>
              <w:rPr>
                <w:rFonts w:ascii="Arial" w:hAnsi="Arial" w:cs="Arial"/>
              </w:rPr>
              <w:br/>
              <w:t>в месяц</w:t>
            </w:r>
          </w:p>
        </w:tc>
        <w:tc>
          <w:tcPr>
            <w:tcW w:w="7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130059,7</w:t>
            </w:r>
          </w:p>
        </w:tc>
        <w:tc>
          <w:tcPr>
            <w:tcW w:w="7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111,3</w:t>
            </w:r>
          </w:p>
        </w:tc>
        <w:tc>
          <w:tcPr>
            <w:tcW w:w="7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114,5</w:t>
            </w:r>
          </w:p>
        </w:tc>
        <w:tc>
          <w:tcPr>
            <w:tcW w:w="784" w:type="pct"/>
            <w:tcBorders>
              <w:top w:val="single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113,2</w:t>
            </w:r>
          </w:p>
        </w:tc>
      </w:tr>
      <w:tr>
        <w:trPr>
          <w:jc w:val="center"/>
        </w:trPr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eastAsia="Arial Unicode MS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х</w:t>
            </w:r>
          </w:p>
        </w:tc>
        <w:tc>
          <w:tcPr>
            <w:tcW w:w="70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70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112,3</w:t>
            </w:r>
          </w:p>
        </w:tc>
        <w:tc>
          <w:tcPr>
            <w:tcW w:w="784" w:type="pct"/>
            <w:tcBorders>
              <w:top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104,8</w:t>
            </w:r>
          </w:p>
        </w:tc>
      </w:tr>
      <w:tr>
        <w:trPr>
          <w:jc w:val="center"/>
        </w:trPr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  <w:t>денежные доходы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х</w:t>
            </w:r>
          </w:p>
        </w:tc>
        <w:tc>
          <w:tcPr>
            <w:tcW w:w="70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102,6</w:t>
            </w:r>
          </w:p>
        </w:tc>
        <w:tc>
          <w:tcPr>
            <w:tcW w:w="70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114,0</w:t>
            </w:r>
          </w:p>
        </w:tc>
        <w:tc>
          <w:tcPr>
            <w:tcW w:w="784" w:type="pct"/>
            <w:tcBorders>
              <w:top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105,2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Оценка.</w:t>
      </w:r>
    </w:p>
    <w:p>
      <w:pPr>
        <w:spacing w:before="40" w:after="40"/>
        <w:ind w:firstLine="709"/>
        <w:jc w:val="both"/>
        <w:rPr>
          <w:rFonts w:ascii="Arial" w:hAnsi="Arial" w:cs="Arial"/>
          <w:b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 xml:space="preserve">, по оценке, в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2024г. по сравнению с соответствующим периодом предыдущего года увеличились на 2,1%. </w:t>
      </w: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2024г. по сравнению с соответствующим периодом предыдущего года увеличились на 2,6%. </w:t>
      </w:r>
    </w:p>
    <w:p>
      <w:pPr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 xml:space="preserve">ДИНАМИКА РЕАЛЬНЫХ И РЕАЛЬНЫХ РАСПОЛАГАЕМЫХ </w:t>
      </w:r>
      <w:r>
        <w:rPr>
          <w:rFonts w:ascii="Arial" w:hAnsi="Arial" w:cs="Arial"/>
          <w:b/>
        </w:rPr>
        <w:br/>
        <w:t>ДЕНЕЖНЫХ ДОХОДОВ</w:t>
      </w:r>
      <w:r>
        <w:rPr>
          <w:rFonts w:ascii="Arial" w:hAnsi="Arial" w:cs="Arial"/>
          <w:vertAlign w:val="superscript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>
        <w:trPr>
          <w:trHeight w:val="708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  <w:t>доходы в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Реальные располагаемые денежные доходы в % к</w:t>
            </w:r>
          </w:p>
        </w:tc>
      </w:tr>
      <w:tr>
        <w:trPr>
          <w:trHeight w:val="1418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60" w:after="60"/>
              <w:ind w:right="17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92,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8,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5,7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109,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trHeight w:val="38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i/>
                <w:spacing w:val="-8"/>
                <w:vertAlign w:val="superscript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79,8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6,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78,3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II</w:t>
            </w:r>
            <w:r>
              <w:rPr>
                <w:rFonts w:ascii="Arial" w:hAnsi="Arial" w:cs="Arial"/>
              </w:rPr>
              <w:t xml:space="preserve"> квартал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spacing w:before="120" w:after="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Оценка. </w:t>
      </w:r>
    </w:p>
    <w:p>
      <w:pPr>
        <w:spacing w:after="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Данные за I</w:t>
      </w:r>
      <w:r>
        <w:rPr>
          <w:rFonts w:ascii="Arial" w:hAnsi="Arial" w:cs="Arial"/>
          <w:i/>
          <w:sz w:val="22"/>
          <w:szCs w:val="22"/>
          <w:lang w:val="en-US"/>
        </w:rPr>
        <w:t>I</w:t>
      </w:r>
      <w:r>
        <w:rPr>
          <w:rFonts w:ascii="Arial" w:hAnsi="Arial" w:cs="Arial"/>
          <w:i/>
          <w:sz w:val="22"/>
          <w:szCs w:val="22"/>
        </w:rPr>
        <w:t xml:space="preserve"> квартал 2024г. уточнены по сравнению с ранее опубликованными по итогам расчетов квартальных балансов денежных доходов и расходов населения.</w:t>
      </w:r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сентябре 2024г. составила 132048,9 рубля и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сентябрем 2023г. увеличилась на 4,5%.</w:t>
      </w:r>
    </w:p>
    <w:p>
      <w:pPr>
        <w:spacing w:before="20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Средне-месячная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>
        <w:trPr>
          <w:trHeight w:val="1755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129655,0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168619,8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180922,1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159170,3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132545,4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150357,8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140708,6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142998,5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152829,4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151197,7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149040,2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103,8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144971,6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143367,2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113,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135931,7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132048,9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137126,9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90,2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142312,1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jc w:val="both"/>
        <w:rPr>
          <w:rFonts w:ascii="Arial" w:hAnsi="Arial" w:cs="Arial"/>
          <w:b/>
          <w:bCs/>
        </w:rPr>
      </w:pP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4960" w:type="pct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2"/>
        <w:gridCol w:w="1222"/>
        <w:gridCol w:w="1143"/>
        <w:gridCol w:w="1014"/>
        <w:gridCol w:w="1222"/>
        <w:gridCol w:w="953"/>
        <w:gridCol w:w="1332"/>
      </w:tblGrid>
      <w:tr>
        <w:trPr>
          <w:trHeight w:val="620"/>
          <w:tblHeader/>
          <w:jc w:val="center"/>
        </w:trPr>
        <w:tc>
          <w:tcPr>
            <w:tcW w:w="116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8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</w:t>
            </w:r>
          </w:p>
        </w:tc>
        <w:tc>
          <w:tcPr>
            <w:tcW w:w="195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2024г.</w:t>
            </w:r>
          </w:p>
        </w:tc>
      </w:tr>
      <w:tr>
        <w:trPr>
          <w:trHeight w:val="42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169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2023г.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2024г.</w:t>
            </w: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2023г.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 xml:space="preserve">ластному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132048,9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142312,1</w:t>
            </w: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119080,6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183376,9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 xml:space="preserve">ство, охота и предоставление </w:t>
            </w:r>
            <w:r>
              <w:rPr>
                <w:rFonts w:ascii="Arial" w:hAnsi="Arial" w:cs="Arial"/>
              </w:rPr>
              <w:br/>
              <w:t>соответству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85585,0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79612,9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лесоводство и лесозаготовки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123992,1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101651,5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124357,8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238342,5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полезных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ископаемых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166808,8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168228,0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101622,6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130749,6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93715,2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151984,0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37740,0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55921,4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полиграфич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ская и копиров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веществ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163347,1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189044,5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материалов, 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 медицинских целях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пластмассовых 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таллической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  <w:t>минеральной продукции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78463,9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56950,6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готовых 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лических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лий, кроме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дования, не включенных в другие групп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ровки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62618,5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105634,2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мебели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178176,3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170578,1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111598,8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127765,4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ние; водоотв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дение,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зация сбора и утилизации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отходов, де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тельность по ликвидации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90542,4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89620,1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140433,0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140530,7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транспортных средств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мотоциклов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115605,4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115384,0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135726,3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138210,0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95998,5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105507,3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водного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183869,4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169190,7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ная транспор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154977,3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156611,9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курьерская деятельность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77034,7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83132,0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предприятий общественного питания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76687,5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79770,3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105755,0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117379,0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139717,8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174982,3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76473,1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89168,1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нальная, нау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 и технич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ская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173942,6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184369,8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198" w:right="-57" w:firstLine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научные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исследования и разработки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154622,0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134731,5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администр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тивная и с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путствующие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дополнител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ные услуги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81580,2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88379,4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обеспечение военной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безопасности; социальное обеспечение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129857,3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149751,4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100011,7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112936,9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здравоохран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ния и социал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111354,1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131107,1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98926,0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118331,5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прочих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видов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83743,1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94342,2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66,3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сентябре 2024г. составила 140172,2 рубля. По сравнению с августом 2024г. она уменьшилась на 2,9%, </w:t>
      </w:r>
      <w:r>
        <w:rPr>
          <w:rFonts w:ascii="Arial" w:hAnsi="Arial" w:cs="Arial"/>
        </w:rPr>
        <w:br/>
        <w:t xml:space="preserve">с сентябрем 2023г. – увеличилась на 7,6%. </w:t>
      </w:r>
    </w:p>
    <w:p>
      <w:pPr>
        <w:rPr>
          <w:rFonts w:ascii="Arial" w:hAnsi="Arial" w:cs="Arial"/>
          <w:b/>
          <w:bCs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на 1 ноября 2024г. составила 21431,0 тыс. рублей.</w:t>
      </w:r>
      <w:r>
        <w:rPr>
          <w:rFonts w:ascii="Arial" w:hAnsi="Arial" w:cs="Arial"/>
          <w:bCs/>
          <w:sz w:val="24"/>
          <w:szCs w:val="24"/>
        </w:rPr>
        <w:t xml:space="preserve"> Численность работников, перед кот</w:t>
      </w:r>
      <w:r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>рыми имеется просроченная задолженность по заработной плате, составила 27 человек.</w:t>
      </w:r>
    </w:p>
    <w:p>
      <w:pPr>
        <w:keepNext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ПРОСРОЧЕННАЯ ЗАДОЛЖЕННОСТЬ ПО ЗАРАБОТНОЙ ПЛАТЕ </w:t>
      </w:r>
    </w:p>
    <w:p>
      <w:pPr>
        <w:keepNext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ноября 2024 года</w:t>
      </w: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1714"/>
        <w:gridCol w:w="1723"/>
        <w:gridCol w:w="1727"/>
      </w:tblGrid>
      <w:tr>
        <w:trPr>
          <w:trHeight w:val="395"/>
          <w:tblHeader/>
          <w:jc w:val="center"/>
        </w:trPr>
        <w:tc>
          <w:tcPr>
            <w:tcW w:w="2150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285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</w:tr>
      <w:tr>
        <w:trPr>
          <w:trHeight w:val="422"/>
          <w:tblHeader/>
          <w:jc w:val="center"/>
        </w:trPr>
        <w:tc>
          <w:tcPr>
            <w:tcW w:w="2150" w:type="pct"/>
            <w:vMerge/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1546"/>
          <w:tblHeader/>
          <w:jc w:val="center"/>
        </w:trPr>
        <w:tc>
          <w:tcPr>
            <w:tcW w:w="2150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недофина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сирования из бюджетов всех уровней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center" w:pos="4536"/>
                <w:tab w:val="right" w:pos="9072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отсутствия собственных средств</w:t>
            </w:r>
          </w:p>
        </w:tc>
      </w:tr>
      <w:tr>
        <w:trPr>
          <w:jc w:val="center"/>
        </w:trPr>
        <w:tc>
          <w:tcPr>
            <w:tcW w:w="2150" w:type="pct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94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21431</w:t>
            </w:r>
          </w:p>
        </w:tc>
        <w:tc>
          <w:tcPr>
            <w:tcW w:w="9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19112</w:t>
            </w:r>
          </w:p>
        </w:tc>
        <w:tc>
          <w:tcPr>
            <w:tcW w:w="9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2319</w:t>
            </w:r>
          </w:p>
        </w:tc>
      </w:tr>
      <w:tr>
        <w:trPr>
          <w:jc w:val="center"/>
        </w:trPr>
        <w:tc>
          <w:tcPr>
            <w:tcW w:w="215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9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150" w:type="pct"/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обеспечение электроэнергией, газом и паром, кондициониров</w:t>
            </w:r>
            <w:r>
              <w:rPr>
                <w:rFonts w:ascii="Arial" w:hAnsi="Arial" w:cs="Arial"/>
                <w:bCs/>
              </w:rPr>
              <w:t>а</w:t>
            </w:r>
            <w:r>
              <w:rPr>
                <w:rFonts w:ascii="Arial" w:hAnsi="Arial" w:cs="Arial"/>
                <w:bCs/>
              </w:rPr>
              <w:t>ние воздуха</w:t>
            </w:r>
          </w:p>
        </w:tc>
        <w:tc>
          <w:tcPr>
            <w:tcW w:w="946" w:type="pct"/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19112</w:t>
            </w:r>
          </w:p>
        </w:tc>
        <w:tc>
          <w:tcPr>
            <w:tcW w:w="951" w:type="pct"/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19112</w:t>
            </w:r>
          </w:p>
        </w:tc>
        <w:tc>
          <w:tcPr>
            <w:tcW w:w="953" w:type="pct"/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150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946" w:type="pct"/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</w:t>
            </w:r>
          </w:p>
        </w:tc>
        <w:tc>
          <w:tcPr>
            <w:tcW w:w="951" w:type="pct"/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53" w:type="pct"/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</w:t>
            </w:r>
          </w:p>
        </w:tc>
      </w:tr>
      <w:tr>
        <w:trPr>
          <w:jc w:val="center"/>
        </w:trPr>
        <w:tc>
          <w:tcPr>
            <w:tcW w:w="215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94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313</w:t>
            </w:r>
          </w:p>
        </w:tc>
        <w:tc>
          <w:tcPr>
            <w:tcW w:w="95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5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313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5" w:name="_Toc182236590"/>
      <w:r>
        <w:rPr>
          <w:lang w:val="en-US"/>
        </w:rPr>
        <w:lastRenderedPageBreak/>
        <w:t>VIII</w:t>
      </w:r>
      <w:r>
        <w:t>. ЗАНЯТОСТЬ И БЕЗРАБОТИЦА</w:t>
      </w:r>
      <w:bookmarkEnd w:id="55"/>
    </w:p>
    <w:p>
      <w:pPr>
        <w:ind w:firstLine="709"/>
        <w:jc w:val="both"/>
        <w:rPr>
          <w:rFonts w:ascii="Arial" w:hAnsi="Arial" w:cs="Arial"/>
        </w:rPr>
      </w:pPr>
    </w:p>
    <w:p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 xml:space="preserve">в </w:t>
      </w:r>
      <w:r>
        <w:rPr>
          <w:rFonts w:ascii="Arial" w:hAnsi="Arial" w:cs="Arial"/>
          <w:b/>
          <w:lang w:val="en-US"/>
        </w:rPr>
        <w:t>III</w:t>
      </w:r>
      <w:r>
        <w:rPr>
          <w:rFonts w:ascii="Arial" w:hAnsi="Arial" w:cs="Arial"/>
          <w:b/>
        </w:rPr>
        <w:t xml:space="preserve"> квартале 2024г. </w:t>
      </w:r>
      <w:r>
        <w:rPr>
          <w:rFonts w:ascii="Arial" w:hAnsi="Arial" w:cs="Arial"/>
        </w:rPr>
        <w:t>составила 76,7 тыс. человек. В их числе 74,7 тыс. человек, или 97,4% рабочей силы, были заняты в экономике и 2,0 тыс. человек (2,6%) не имели занятия, но активно его искали (в соответствии с методологией Международной Организации Труда они классифицируются как безрабо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ные).</w:t>
      </w:r>
    </w:p>
    <w:p>
      <w:pPr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в среднем за месяц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893"/>
        <w:gridCol w:w="1163"/>
        <w:gridCol w:w="1232"/>
        <w:gridCol w:w="1131"/>
        <w:gridCol w:w="1789"/>
        <w:gridCol w:w="1852"/>
      </w:tblGrid>
      <w:tr>
        <w:tc>
          <w:tcPr>
            <w:tcW w:w="10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64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30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79" w:right="-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98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</w:t>
            </w:r>
            <w:r>
              <w:rPr>
                <w:rFonts w:ascii="Arial" w:hAnsi="Arial" w:cs="Arial"/>
                <w:i/>
                <w:iCs/>
              </w:rPr>
              <w:t>а</w:t>
            </w:r>
            <w:r>
              <w:rPr>
                <w:rFonts w:ascii="Arial" w:hAnsi="Arial" w:cs="Arial"/>
                <w:i/>
                <w:iCs/>
              </w:rPr>
              <w:t>нятости,%</w:t>
            </w:r>
          </w:p>
        </w:tc>
        <w:tc>
          <w:tcPr>
            <w:tcW w:w="102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</w:t>
            </w:r>
            <w:r>
              <w:rPr>
                <w:rFonts w:ascii="Arial" w:hAnsi="Arial" w:cs="Arial"/>
                <w:i/>
                <w:iCs/>
              </w:rPr>
              <w:t>з</w:t>
            </w:r>
            <w:r>
              <w:rPr>
                <w:rFonts w:ascii="Arial" w:hAnsi="Arial" w:cs="Arial"/>
                <w:i/>
                <w:iCs/>
              </w:rPr>
              <w:t>работицы, %</w:t>
            </w:r>
          </w:p>
        </w:tc>
      </w:tr>
      <w:tr>
        <w:tc>
          <w:tcPr>
            <w:tcW w:w="104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567"/>
              <w:jc w:val="right"/>
              <w:rPr>
                <w:rFonts w:ascii="Arial" w:hAnsi="Arial" w:cs="Arial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>
            <w:pPr>
              <w:ind w:right="624"/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ind w:left="-142" w:right="-8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</w:t>
            </w:r>
          </w:p>
        </w:tc>
      </w:tr>
      <w:tr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68,6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</w:tr>
      <w:tr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</w:t>
            </w:r>
          </w:p>
        </w:tc>
      </w:tr>
    </w:tbl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сентябре 2024г.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56,1 тыс. человек. На условиях совместительства и по договорам гражданско-правового характера для работы в этих организациях привлекались еще 2,1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тера, в указанных организациях составило 58,3 тыс. человек.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br/>
              <w:t xml:space="preserve">2024г.,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сентябрю 2023г.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августу 2024г.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58250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96,9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99,9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56106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октября 2024г. в органах службы занятости населения состояли на учете 0,5 тыс. </w:t>
      </w:r>
      <w:r>
        <w:rPr>
          <w:rFonts w:ascii="Arial" w:hAnsi="Arial" w:cs="Arial"/>
        </w:rPr>
        <w:br/>
        <w:t>не занятых трудовой деятельностью граждан, из них 0,4 тыс. человек имели статус безработного, в том числе 0,2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соответст-вующему </w:t>
            </w:r>
            <w:r>
              <w:rPr>
                <w:rFonts w:ascii="Arial" w:hAnsi="Arial" w:cs="Arial"/>
                <w:i/>
                <w:iCs/>
              </w:rPr>
              <w:br/>
              <w:t>периоду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октябре 2024г. составил 0,4% (в октябре 2023г. – 0,7%).</w:t>
      </w: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6" w:name="_Toc182236591"/>
      <w:r>
        <w:rPr>
          <w:lang w:val="en-US"/>
        </w:rPr>
        <w:lastRenderedPageBreak/>
        <w:t>IX</w:t>
      </w:r>
      <w:r>
        <w:t>. ДЕМОГРАФИЯ</w:t>
      </w:r>
      <w:bookmarkEnd w:id="56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Январь-сентябрь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>
        <w:trPr>
          <w:trHeight w:val="958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2024г.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4г.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752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835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-83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8,3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1241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1207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+34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12,0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</w:rPr>
              <w:t>3,5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  <w:r>
              <w:rPr>
                <w:rFonts w:ascii="Arial" w:hAnsi="Arial" w:cs="Arial"/>
                <w:szCs w:val="22"/>
              </w:rPr>
              <w:t>489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-372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-3,7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665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772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-107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6,7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7,7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-48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5,9</w:t>
            </w:r>
          </w:p>
        </w:tc>
      </w:tr>
    </w:tbl>
    <w:p>
      <w:pPr>
        <w:spacing w:before="60"/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 Данные пересчитаны с учетом итогов Всероссийской переписи населения 2020 года.</w:t>
      </w:r>
    </w:p>
    <w:p>
      <w:pPr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>
      <w:pPr>
        <w:rPr>
          <w:rFonts w:ascii="Arial" w:hAnsi="Arial" w:cs="Arial"/>
          <w:b/>
          <w:i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Январь-октябрь 2024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А.В. Джумова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05</w:t>
      </w:r>
      <w:r>
        <w:rPr>
          <w:rFonts w:cs="Arial"/>
        </w:rPr>
        <w:t>.</w:t>
      </w:r>
      <w:r>
        <w:rPr>
          <w:rFonts w:cs="Arial"/>
          <w:lang w:val="ru-RU"/>
        </w:rPr>
        <w:t>12</w:t>
      </w:r>
      <w:r>
        <w:rPr>
          <w:rFonts w:cs="Arial"/>
        </w:rPr>
        <w:t>.20</w:t>
      </w:r>
      <w:r>
        <w:rPr>
          <w:rFonts w:cs="Arial"/>
          <w:lang w:val="ru-RU"/>
        </w:rPr>
        <w:t>24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47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27.rosstat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C8B2C-83D6-4D1E-8171-DED48F58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48</Pages>
  <Words>8558</Words>
  <Characters>48783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57227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2</cp:revision>
  <cp:lastPrinted>2024-11-29T03:31:00Z</cp:lastPrinted>
  <dcterms:created xsi:type="dcterms:W3CDTF">2024-12-04T23:22:00Z</dcterms:created>
  <dcterms:modified xsi:type="dcterms:W3CDTF">2024-12-04T23:22:00Z</dcterms:modified>
</cp:coreProperties>
</file>