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ЯНВАРЬ-НОЯБРЬ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нов», «Методология», «Официальная статистика») и Интернет-портале </w:t>
      </w:r>
      <w:proofErr w:type="spellStart"/>
      <w:r>
        <w:rPr>
          <w:rFonts w:ascii="Arial" w:hAnsi="Arial" w:cs="Arial"/>
        </w:rPr>
        <w:t>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</w:t>
      </w:r>
      <w:proofErr w:type="spellEnd"/>
      <w:r>
        <w:rPr>
          <w:rFonts w:ascii="Arial" w:hAnsi="Arial" w:cs="Arial"/>
        </w:rPr>
        <w:t xml:space="preserve">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</w:t>
        </w:r>
        <w:proofErr w:type="spellStart"/>
        <w:r>
          <w:rPr>
            <w:rStyle w:val="af4"/>
            <w:rFonts w:ascii="Arial" w:hAnsi="Arial" w:cs="Arial"/>
          </w:rPr>
          <w:t>ru</w:t>
        </w:r>
        <w:proofErr w:type="spellEnd"/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87412711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12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13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14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15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16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17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18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19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20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21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22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23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87412724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25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26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27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87412728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_Toc187412728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87412711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Ноябрь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ноябрю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январь-ноябрь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5279,9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52356,7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110,8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1495,5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15740,9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136,3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130,1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Ноябрь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Ноябрь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87412712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87412713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Январь-ноябрь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 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70184,7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126,5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142,7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630007,7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130,2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1342,7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12661,3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45707,5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367859,8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752,5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8264,7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23332,6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1353,9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3748,6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157,3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26126,0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</w:t>
            </w:r>
            <w:r>
              <w:rPr>
                <w:rFonts w:ascii="Arial" w:hAnsi="Arial" w:cs="Arial"/>
              </w:rPr>
              <w:br/>
              <w:t>розничная;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11299,3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137998,2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2176,9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29703,7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391,4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3921,9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383,7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3872,5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195,5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2071,2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4962,0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2873,6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1008,0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84,1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658,1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2957,0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126,4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202,8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111,7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10" w:name="_Toc187412714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январе-ноябре 2024г. по сравнению с соответствующим периодом предыдущего года составил 103,7%.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1854"/>
        <w:gridCol w:w="1995"/>
      </w:tblGrid>
      <w:tr>
        <w:trPr>
          <w:trHeight w:val="1625"/>
          <w:tblHeader/>
          <w:jc w:val="center"/>
        </w:trPr>
        <w:tc>
          <w:tcPr>
            <w:tcW w:w="287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ноябрю 2023г.</w:t>
            </w:r>
          </w:p>
        </w:tc>
        <w:tc>
          <w:tcPr>
            <w:tcW w:w="11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2023г.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108,2</w:t>
            </w:r>
          </w:p>
        </w:tc>
        <w:tc>
          <w:tcPr>
            <w:tcW w:w="110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105,0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161,3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82,8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пищевых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</w:tr>
      <w:tr>
        <w:trPr>
          <w:trHeight w:val="252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>мебели, производство изделий из соломки и материалов для плетения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593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114,4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75,6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58,8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102,4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92,6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34,5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131,8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93,8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116,9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61,8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103,6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ликвидации загрязнений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88,9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97,3</w:t>
            </w:r>
          </w:p>
        </w:tc>
      </w:tr>
    </w:tbl>
    <w:p>
      <w:pPr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592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</w:p>
        </w:tc>
      </w:tr>
      <w:tr>
        <w:trPr>
          <w:trHeight w:val="1311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ноябрю 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3699,1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122,8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43904,1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41916,5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324942,6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1904,5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из дерева и пробки, кроме мебели, </w:t>
            </w:r>
            <w:r>
              <w:rPr>
                <w:rFonts w:ascii="Arial" w:hAnsi="Arial" w:cs="Arial"/>
              </w:rPr>
              <w:br/>
              <w:t>производство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1242,8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2446,8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20846,1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1829,7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14958,7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5887,4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1523,6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06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Январь-ноябрь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январю-ноябрю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>
              <w:rPr>
                <w:rFonts w:ascii="Arial" w:hAnsi="Arial" w:cs="Arial"/>
              </w:rPr>
              <w:t>мясосодержащие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75687,8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69041,7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753,8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3803,9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5464,1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</w:t>
            </w:r>
            <w:proofErr w:type="spellStart"/>
            <w:r>
              <w:rPr>
                <w:rFonts w:ascii="Arial" w:hAnsi="Arial" w:cs="Arial"/>
              </w:rPr>
              <w:t>ароматизаторов</w:t>
            </w:r>
            <w:proofErr w:type="spellEnd"/>
            <w:r>
              <w:rPr>
                <w:rFonts w:ascii="Arial" w:hAnsi="Arial" w:cs="Arial"/>
              </w:rPr>
              <w:t xml:space="preserve">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2984,1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2138,7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889,7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1,3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87412715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январе-ноябре 2024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12232,5 млн рублей, что на 13,1% ниже уровня соответствующего периода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январе-НОЯБРе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январю-ноябрю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66904,6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4424,3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жденная, не являющаяся продукцией </w:t>
            </w:r>
            <w:r>
              <w:rPr>
                <w:rFonts w:ascii="Arial" w:hAnsi="Arial" w:cs="Arial"/>
              </w:rPr>
              <w:br/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12302,6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</w:tbl>
    <w:bookmarkEnd w:id="12"/>
    <w:bookmarkEnd w:id="13"/>
    <w:bookmarkEnd w:id="14"/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b/>
          <w:bCs/>
          <w:iCs/>
          <w:sz w:val="28"/>
          <w:szCs w:val="28"/>
        </w:rPr>
      </w:pPr>
      <w:bookmarkStart w:id="15" w:name="_Toc149315970"/>
      <w:r>
        <w:rPr>
          <w:i/>
        </w:rPr>
        <w:br w:type="page"/>
      </w:r>
    </w:p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6" w:name="_Toc187412716"/>
      <w:bookmarkEnd w:id="15"/>
      <w:r>
        <w:rPr>
          <w:i w:val="0"/>
        </w:rPr>
        <w:lastRenderedPageBreak/>
        <w:t>4. СТРОИТЕЛЬСТВО</w:t>
      </w:r>
      <w:bookmarkEnd w:id="16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7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ноябре 2024г. составил </w:t>
      </w:r>
      <w:r>
        <w:rPr>
          <w:rFonts w:ascii="Arial" w:hAnsi="Arial" w:cs="Arial"/>
        </w:rPr>
        <w:t xml:space="preserve">4705,9 </w:t>
      </w:r>
      <w:r>
        <w:rPr>
          <w:rFonts w:ascii="Arial" w:hAnsi="Arial" w:cs="Arial"/>
          <w:kern w:val="24"/>
        </w:rPr>
        <w:t>млн рублей, или 137,0% (в сопоставимых ценах) к ноябрю 2023г., в я</w:t>
      </w:r>
      <w:r>
        <w:rPr>
          <w:rFonts w:ascii="Arial" w:hAnsi="Arial" w:cs="Arial"/>
          <w:kern w:val="24"/>
        </w:rPr>
        <w:t>н</w:t>
      </w:r>
      <w:r>
        <w:rPr>
          <w:rFonts w:ascii="Arial" w:hAnsi="Arial" w:cs="Arial"/>
          <w:kern w:val="24"/>
        </w:rPr>
        <w:t>варе-ноябре 2024г. – 30762,9 млн рублей, или 77,5%.</w:t>
      </w:r>
    </w:p>
    <w:p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05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6360,4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22653,4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3403,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январе-ноябре 2024г. введено 35 домов общей площадью 9010 кв. метров, или 78,3% к январю-ноябрю 2023г.  В том числе населением введено 33 дома общей площадью жилых помещений 4292 кв. метра, или 80,2% к январю-ноябрю 2023г. Из них 1267 кв. метров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ставляет прирост за счет реконструкции и изменения прежних значений в 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нее построенных домах.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66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9,5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5,4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43,3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8" w:name="_Toc187412717"/>
      <w:r>
        <w:rPr>
          <w:i w:val="0"/>
        </w:rPr>
        <w:t>5. АВТОМОБИЛЬНЫЙ ТРАНСПОРТ</w:t>
      </w:r>
      <w:bookmarkEnd w:id="18"/>
    </w:p>
    <w:bookmarkEnd w:id="17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ноябрю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январю-ноябрю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93,9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2078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ноябрю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9" w:name="_Toc187412718"/>
      <w:r>
        <w:rPr>
          <w:lang w:val="en-US"/>
        </w:rPr>
        <w:lastRenderedPageBreak/>
        <w:t>III</w:t>
      </w:r>
      <w:r>
        <w:t>. РЫНКИ ТОВАРОВ И УСЛУГ</w:t>
      </w:r>
      <w:bookmarkEnd w:id="19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0" w:name="_Toc187412719"/>
      <w:bookmarkStart w:id="21" w:name="_Toc347145697"/>
      <w:r>
        <w:rPr>
          <w:i w:val="0"/>
          <w:color w:val="000000" w:themeColor="text1"/>
        </w:rPr>
        <w:t>1. РОЗНИЧНАЯ ТОРГОВЛЯ</w:t>
      </w:r>
      <w:bookmarkEnd w:id="20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ноябре 2024г. составил 5279,9 </w:t>
      </w:r>
      <w:r>
        <w:rPr>
          <w:rFonts w:ascii="Arial" w:hAnsi="Arial" w:cs="Arial"/>
          <w:kern w:val="24"/>
        </w:rPr>
        <w:t xml:space="preserve">млн рублей, или 118,7%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январе-ноябре 2024г. – 52356,7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110,8%.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7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5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4486,1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4575,3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26539,1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5048,7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5173,0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15324,9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41864,0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52356,7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январе-октябре 2024г. оборот розничной торговли на 99,94% форм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 xml:space="preserve">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</w:t>
      </w:r>
      <w:r>
        <w:rPr>
          <w:rFonts w:ascii="Arial" w:hAnsi="Arial" w:cs="Arial"/>
          <w:b/>
          <w:kern w:val="24"/>
        </w:rPr>
        <w:t>а</w:t>
      </w:r>
      <w:r>
        <w:rPr>
          <w:rFonts w:ascii="Arial" w:hAnsi="Arial" w:cs="Arial"/>
          <w:b/>
          <w:kern w:val="24"/>
        </w:rPr>
        <w:t>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</w:t>
      </w:r>
      <w:r>
        <w:rPr>
          <w:rFonts w:ascii="Arial" w:hAnsi="Arial" w:cs="Arial"/>
          <w:b/>
          <w:kern w:val="24"/>
        </w:rPr>
        <w:t>н</w:t>
      </w:r>
      <w:r>
        <w:rPr>
          <w:rFonts w:ascii="Arial" w:hAnsi="Arial" w:cs="Arial"/>
          <w:b/>
          <w:kern w:val="24"/>
        </w:rPr>
        <w:t>ков и ярмарок составила</w:t>
      </w:r>
      <w:r>
        <w:rPr>
          <w:rFonts w:ascii="Arial" w:hAnsi="Arial" w:cs="Arial"/>
          <w:kern w:val="24"/>
        </w:rPr>
        <w:t xml:space="preserve"> 0,06%.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ноябрю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январю-ноябрю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5279,9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52356,7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110,8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5278,1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52326,2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110,9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январе-ноябре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– 50,1%, 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49,9% (в январе-ноябре 2023г.  – 51,1% и 48,9%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408"/>
        <w:gridCol w:w="1863"/>
      </w:tblGrid>
      <w:tr>
        <w:trPr>
          <w:trHeight w:val="29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8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0" w:right="-109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2200,9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2290,3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6815,7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13203,0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2580,8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2615,7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2552,7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7749,2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20952,2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2613,3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2658,6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26224,1</w:t>
            </w:r>
          </w:p>
        </w:tc>
        <w:tc>
          <w:tcPr>
            <w:tcW w:w="13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22" w:name="_Toc73090105"/>
      <w:bookmarkStart w:id="23" w:name="_Toc1547765"/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699"/>
        <w:gridCol w:w="1980"/>
        <w:gridCol w:w="2462"/>
        <w:gridCol w:w="1810"/>
      </w:tblGrid>
      <w:tr>
        <w:trPr>
          <w:trHeight w:val="292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998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5" w:right="-109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2189,1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115,8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2195,8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2250,8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6635,7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110,3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13336,1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2467,9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116,5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2557,3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2550,5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119,0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7575,7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116,6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20911,8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2599,5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118,0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2621,3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118,8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26132,6</w:t>
            </w:r>
          </w:p>
        </w:tc>
        <w:tc>
          <w:tcPr>
            <w:tcW w:w="13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114,7</w:t>
            </w:r>
          </w:p>
        </w:tc>
        <w:tc>
          <w:tcPr>
            <w:tcW w:w="10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bookmarkEnd w:id="22"/>
    <w:p>
      <w:pPr>
        <w:spacing w:before="60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  <w:r>
        <w:rPr>
          <w:i/>
        </w:rPr>
        <w:br w:type="page"/>
      </w:r>
    </w:p>
    <w:p>
      <w:pPr>
        <w:pStyle w:val="2"/>
        <w:spacing w:after="120"/>
        <w:jc w:val="center"/>
        <w:rPr>
          <w:i w:val="0"/>
        </w:rPr>
      </w:pPr>
      <w:bookmarkStart w:id="24" w:name="_Toc187412720"/>
      <w:r>
        <w:rPr>
          <w:i w:val="0"/>
        </w:rPr>
        <w:lastRenderedPageBreak/>
        <w:t>2. РЕСТОРАНЫ, КАФЕ И БАРЫ</w:t>
      </w:r>
      <w:bookmarkEnd w:id="24"/>
    </w:p>
    <w:p>
      <w:pPr>
        <w:spacing w:before="120"/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 xml:space="preserve">Оборот общественного питания </w:t>
      </w:r>
      <w:r>
        <w:rPr>
          <w:rFonts w:ascii="Arial" w:hAnsi="Arial" w:cs="Arial"/>
        </w:rPr>
        <w:t xml:space="preserve">в ноябре 2024г. составил 488,1 </w:t>
      </w:r>
      <w:r>
        <w:rPr>
          <w:rFonts w:ascii="Arial" w:hAnsi="Arial" w:cs="Arial"/>
          <w:kern w:val="24"/>
        </w:rPr>
        <w:t xml:space="preserve">млн рублей, или 120,0%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январе-ноябре 2024г. – 4538,8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104,2%.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464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255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408,2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1237,9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2346,8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415,0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3585,4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488,1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4538,8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>
      <w:pPr>
        <w:spacing w:before="60"/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уточнены по итогам ежеквартальных обследований малых предприятий и организаций, средняя численность работников которых не превышает 15 чел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век, не относящихся к субъектам малого предпринимательства. Кроме того, учтены изменения, внесенные респондентами в ранее предоставленные опер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тивные данные.</w:t>
      </w:r>
    </w:p>
    <w:p>
      <w:pPr>
        <w:pStyle w:val="2"/>
        <w:spacing w:after="120"/>
        <w:jc w:val="center"/>
        <w:rPr>
          <w:i w:val="0"/>
        </w:rPr>
      </w:pPr>
      <w:bookmarkStart w:id="25" w:name="_Toc187412721"/>
      <w:r>
        <w:rPr>
          <w:i w:val="0"/>
        </w:rPr>
        <w:t>3. РЫНОК ПЛАТНЫХ УСЛУГ НАСЕЛЕНИЮ</w:t>
      </w:r>
      <w:bookmarkEnd w:id="23"/>
      <w:bookmarkEnd w:id="25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ноябре 2024г. населению было предоставлено платных услуг на су</w:t>
      </w:r>
      <w:r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му 1495,5 млн рублей, что в сопоставимых ценах составило 102,1%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январе-ноябре 2024г. </w:t>
      </w:r>
      <w:r>
        <w:rPr>
          <w:rFonts w:ascii="Arial" w:hAnsi="Arial" w:cs="Arial"/>
          <w:kern w:val="24"/>
          <w:sz w:val="24"/>
          <w:szCs w:val="24"/>
        </w:rPr>
        <w:t>– 15740,9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101,7%. Объем платных услуг, оказанных в среднем одному жителю области, составил 117629,8 рубля и по сравнению с январем-ноябрем 2023г. увеличился на 2,3%.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64"/>
        <w:gridCol w:w="1064"/>
        <w:gridCol w:w="1064"/>
        <w:gridCol w:w="1064"/>
        <w:gridCol w:w="1064"/>
        <w:gridCol w:w="1064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2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</w:t>
            </w:r>
          </w:p>
        </w:tc>
        <w:tc>
          <w:tcPr>
            <w:tcW w:w="42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Январь-ноябрь 2024г.</w:t>
            </w:r>
          </w:p>
        </w:tc>
      </w:tr>
      <w:tr>
        <w:trPr>
          <w:trHeight w:val="788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ноябрю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став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январю-ноябрю 2023г.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33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1495,5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102,1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hanging="12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15740,9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106,8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101,7</w:t>
            </w:r>
          </w:p>
        </w:tc>
        <w:tc>
          <w:tcPr>
            <w:tcW w:w="10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3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3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175,3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1892,0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1653,7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 xml:space="preserve">курьерской 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184,6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1969,0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12,5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1310,6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462,9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9,2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41,4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512,3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физической культуры и спорта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161,4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116,6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фитнес-центров и спортивных клубов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1460,2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73,9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75,0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689,5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132,1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109,7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86,2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129,4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94,3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</w:t>
            </w:r>
            <w:proofErr w:type="spellStart"/>
            <w:r>
              <w:rPr>
                <w:rFonts w:ascii="Arial" w:hAnsi="Arial" w:cs="Arial"/>
              </w:rPr>
              <w:t>коммуни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spellStart"/>
            <w:r>
              <w:rPr>
                <w:rFonts w:ascii="Arial" w:hAnsi="Arial" w:cs="Arial"/>
              </w:rPr>
              <w:t>кационных</w:t>
            </w:r>
            <w:proofErr w:type="spellEnd"/>
            <w:r>
              <w:rPr>
                <w:rFonts w:ascii="Arial" w:hAnsi="Arial" w:cs="Arial"/>
              </w:rPr>
              <w:t xml:space="preserve">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70,9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22,8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85,5</w:t>
            </w:r>
          </w:p>
        </w:tc>
        <w:tc>
          <w:tcPr>
            <w:tcW w:w="106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13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6" w:name="_Toc187412722"/>
      <w:bookmarkEnd w:id="21"/>
      <w:r>
        <w:rPr>
          <w:lang w:val="en-US"/>
        </w:rPr>
        <w:lastRenderedPageBreak/>
        <w:t>IV</w:t>
      </w:r>
      <w:r>
        <w:t>. ЦЕНЫ</w:t>
      </w:r>
      <w:bookmarkEnd w:id="26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 к</w:t>
            </w:r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103,0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136,3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133,1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108,9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109,6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98,4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104,5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105,4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64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7" w:name="_Toc187412723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7"/>
    </w:p>
    <w:p>
      <w:pPr>
        <w:ind w:firstLine="720"/>
        <w:jc w:val="both"/>
        <w:rPr>
          <w:rFonts w:ascii="Arial" w:hAnsi="Arial" w:cs="Arial"/>
          <w:color w:val="000000"/>
          <w:kern w:val="24"/>
        </w:rPr>
      </w:pPr>
      <w:r>
        <w:rPr>
          <w:rFonts w:ascii="Arial" w:hAnsi="Arial" w:cs="Arial"/>
          <w:color w:val="000000"/>
          <w:kern w:val="24"/>
        </w:rPr>
        <w:t xml:space="preserve">В ноябре 2024г. </w:t>
      </w:r>
      <w:r>
        <w:rPr>
          <w:rFonts w:ascii="Arial" w:hAnsi="Arial" w:cs="Arial"/>
          <w:b/>
          <w:color w:val="000000"/>
          <w:kern w:val="24"/>
        </w:rPr>
        <w:t>индекс потребительских цен</w:t>
      </w:r>
      <w:r>
        <w:rPr>
          <w:rFonts w:ascii="Arial" w:hAnsi="Arial" w:cs="Arial"/>
          <w:color w:val="000000"/>
          <w:kern w:val="24"/>
        </w:rPr>
        <w:t xml:space="preserve"> составил 100,2%, </w:t>
      </w:r>
      <w:r>
        <w:rPr>
          <w:rFonts w:ascii="Arial" w:hAnsi="Arial" w:cs="Arial"/>
          <w:color w:val="000000"/>
          <w:kern w:val="24"/>
        </w:rPr>
        <w:br/>
        <w:t>в том числе на продовольственные товары – 101,1%, непродовольственные товары – 100,1%, услуги – 99,4%.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proofErr w:type="spellStart"/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proofErr w:type="spellEnd"/>
            <w:r>
              <w:rPr>
                <w:rFonts w:ascii="Arial" w:hAnsi="Arial" w:cs="Arial"/>
                <w:i/>
              </w:rPr>
              <w:t xml:space="preserve">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r>
              <w:rPr>
                <w:rFonts w:ascii="Arial" w:hAnsi="Arial" w:cs="Arial"/>
                <w:i/>
              </w:rPr>
              <w:t>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го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ноябре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1,1%.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 к</w:t>
            </w:r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114,3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111,2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  <w:color w:val="000000"/>
        </w:rPr>
        <w:t>в расчёте на месяц в среднем по Магаданской области в конце ноября 2024г. составила 11309,48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ноябре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11309,48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11299,44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11156,93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>
              <w:rPr>
                <w:rFonts w:ascii="Arial" w:hAnsi="Arial" w:cs="Arial"/>
                <w:kern w:val="2"/>
              </w:rPr>
              <w:t>пгт</w:t>
            </w:r>
            <w:proofErr w:type="spellEnd"/>
            <w:r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10852,38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Цены на </w:t>
      </w:r>
      <w:r>
        <w:rPr>
          <w:rFonts w:ascii="Arial" w:hAnsi="Arial" w:cs="Arial"/>
          <w:b/>
          <w:bCs/>
          <w:color w:val="000000"/>
        </w:rPr>
        <w:t>непродовольственные товары</w:t>
      </w:r>
      <w:r>
        <w:rPr>
          <w:rFonts w:ascii="Arial" w:hAnsi="Arial" w:cs="Arial"/>
          <w:color w:val="000000"/>
        </w:rPr>
        <w:t xml:space="preserve"> в ноябре </w:t>
      </w:r>
      <w:r>
        <w:rPr>
          <w:rFonts w:ascii="Arial" w:hAnsi="Arial" w:cs="Arial"/>
          <w:color w:val="000000"/>
          <w:kern w:val="24"/>
        </w:rPr>
        <w:t>2024г</w:t>
      </w:r>
      <w:r>
        <w:rPr>
          <w:rFonts w:ascii="Arial" w:hAnsi="Arial" w:cs="Arial"/>
          <w:color w:val="000000"/>
        </w:rPr>
        <w:t>. по сравн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нию с предыдущим месяцем увеличились на 0,1%.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 к</w:t>
            </w:r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94,2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94,8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ноябре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предыдущим месяцем снизились на 0,6%.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 к</w:t>
            </w:r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110,8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118,4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114,7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8" w:name="_Toc187412724"/>
      <w:r>
        <w:rPr>
          <w:i w:val="0"/>
        </w:rPr>
        <w:t>2. ЦЕНЫ ПРОИЗВОДИТЕЛЕЙ</w:t>
      </w:r>
      <w:bookmarkEnd w:id="28"/>
    </w:p>
    <w:p>
      <w:pPr>
        <w:widowControl w:val="0"/>
        <w:shd w:val="clear" w:color="auto" w:fill="FFFFFF"/>
        <w:spacing w:before="40" w:after="40"/>
        <w:ind w:firstLine="709"/>
        <w:jc w:val="both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bCs/>
          <w:color w:val="000000"/>
        </w:rPr>
        <w:t>Индекс цен производителей промышленных товаров</w:t>
      </w:r>
      <w:r>
        <w:rPr>
          <w:rFonts w:ascii="Arial" w:hAnsi="Arial" w:cs="Arial"/>
          <w:color w:val="000000"/>
        </w:rPr>
        <w:t xml:space="preserve"> в ноябре 2024г. относительно предыдущего месяца, по предварительным данным, с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>ставил 103,0%, в том числе в добыче полезных ископаемых – 100,0%, в обр</w:t>
      </w:r>
      <w:r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батывающих производствах – 103,8%, в обеспечении электрической энерг</w:t>
      </w:r>
      <w:r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>ей, газом и паром; кондиционировании воздуха – 100,0%, в водоснабжении; водоотведении,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color w:val="000000"/>
          <w:sz w:val="28"/>
        </w:rPr>
        <w:t xml:space="preserve"> – </w:t>
      </w:r>
      <w:r>
        <w:rPr>
          <w:rFonts w:ascii="Arial" w:hAnsi="Arial" w:cs="Arial"/>
          <w:color w:val="000000"/>
        </w:rPr>
        <w:t>100,0%.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электричес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-кой энергией, газом и паром;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кондициони-рование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90,7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111,7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101,8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90,6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116,4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112,4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108,3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141,0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136,3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146,3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118,0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Ноябрь 2024г. к</w:t>
            </w:r>
          </w:p>
        </w:tc>
      </w:tr>
      <w:tr>
        <w:trPr>
          <w:trHeight w:val="812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октябрю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ноябрю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146,3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141,1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142,2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142,7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tabs>
          <w:tab w:val="left" w:pos="8014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ноябре 2024г., по предварительным данным, составил 100,0%.</w:t>
      </w:r>
    </w:p>
    <w:p>
      <w:pPr>
        <w:widowControl w:val="0"/>
        <w:spacing w:before="240" w:after="6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trHeight w:val="451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98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126,7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</w:tbl>
    <w:p/>
    <w:p>
      <w: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9" w:name="_Toc347145706"/>
      <w:bookmarkStart w:id="30" w:name="_Toc443379910"/>
      <w:bookmarkStart w:id="31" w:name="_Toc472350846"/>
      <w:bookmarkStart w:id="32" w:name="_Toc17209006"/>
      <w:bookmarkStart w:id="33" w:name="_Toc187412725"/>
      <w:r>
        <w:rPr>
          <w:lang w:val="en-US"/>
        </w:rPr>
        <w:lastRenderedPageBreak/>
        <w:t>V</w:t>
      </w:r>
      <w:r>
        <w:t xml:space="preserve">. </w:t>
      </w:r>
      <w:bookmarkEnd w:id="29"/>
      <w:r>
        <w:t>ФИНАНСОВАЯ</w:t>
      </w:r>
      <w:bookmarkStart w:id="34" w:name="_Toc443379911"/>
      <w:bookmarkStart w:id="35" w:name="_Toc472350847"/>
      <w:bookmarkEnd w:id="30"/>
      <w:bookmarkEnd w:id="31"/>
      <w:r>
        <w:t xml:space="preserve"> ДЕЯТЕЛЬНОСТЬ ОРГАНИЗАЦИЙ</w:t>
      </w:r>
      <w:bookmarkEnd w:id="32"/>
      <w:bookmarkEnd w:id="33"/>
      <w:bookmarkEnd w:id="34"/>
      <w:bookmarkEnd w:id="35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январе-октябре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1424"/>
        <w:gridCol w:w="1236"/>
        <w:gridCol w:w="1152"/>
        <w:gridCol w:w="1152"/>
        <w:gridCol w:w="1151"/>
      </w:tblGrid>
      <w:tr>
        <w:trPr>
          <w:trHeight w:val="2634"/>
          <w:tblHeader/>
          <w:jc w:val="center"/>
        </w:trPr>
        <w:tc>
          <w:tcPr>
            <w:tcW w:w="1625" w:type="pct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 пр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и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682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прибыль-</w:t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убыточ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ных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орга-низаций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color w:val="000000"/>
                <w:szCs w:val="16"/>
              </w:rPr>
              <w:t>организа-ций</w:t>
            </w:r>
            <w:proofErr w:type="spellEnd"/>
            <w:r>
              <w:rPr>
                <w:rFonts w:ascii="Arial" w:hAnsi="Arial" w:cs="Arial"/>
                <w:i/>
                <w:color w:val="000000"/>
                <w:szCs w:val="16"/>
              </w:rPr>
              <w:t>, %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+118270,7</w:t>
            </w:r>
          </w:p>
        </w:tc>
        <w:tc>
          <w:tcPr>
            <w:tcW w:w="6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127114,8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8844,0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41,4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</w:t>
            </w:r>
            <w:r>
              <w:rPr>
                <w:rFonts w:ascii="Arial" w:hAnsi="Arial" w:cs="Arial"/>
              </w:rPr>
              <w:br/>
              <w:t xml:space="preserve">хозяйство, охота, </w:t>
            </w:r>
            <w:r>
              <w:rPr>
                <w:rFonts w:ascii="Arial" w:hAnsi="Arial" w:cs="Arial"/>
              </w:rPr>
              <w:br/>
              <w:t>рыболовство и рыб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водство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+1768,3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+112306,3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114112,7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ческой энергией, газом и паром; кондицион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рование воздуха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-4877,6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отведение, организация сбора и утилизации </w:t>
            </w:r>
            <w:r>
              <w:rPr>
                <w:rFonts w:ascii="Arial" w:hAnsi="Arial" w:cs="Arial"/>
              </w:rPr>
              <w:br/>
              <w:t>отходов, деятельность по ликвидации загря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нений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ремонт </w:t>
            </w:r>
            <w:r>
              <w:rPr>
                <w:rFonts w:ascii="Arial" w:hAnsi="Arial" w:cs="Arial"/>
              </w:rPr>
              <w:br/>
              <w:t>автотранспортных средств и мотоциклов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+5324,2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и </w:t>
            </w:r>
            <w:r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+1311,2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1931,6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финанс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вая и страховая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рациям с недвижимым имуществом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+293,5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</w:t>
            </w:r>
            <w:r>
              <w:rPr>
                <w:rFonts w:ascii="Arial" w:hAnsi="Arial" w:cs="Arial"/>
              </w:rPr>
              <w:t>л</w:t>
            </w:r>
            <w:r>
              <w:rPr>
                <w:rFonts w:ascii="Arial" w:hAnsi="Arial" w:cs="Arial"/>
              </w:rPr>
              <w:t>нительные услуги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предоставление прочих </w:t>
            </w:r>
            <w:r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октября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384453,9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2422,1 млн рублей, или 0,6% от общей суммы </w:t>
      </w:r>
      <w:r>
        <w:rPr>
          <w:rFonts w:ascii="Arial" w:hAnsi="Arial" w:cs="Arial"/>
        </w:rPr>
        <w:br/>
        <w:t xml:space="preserve">задолженности (на конец октября 2023г. – 0,4%, на конец сентября </w:t>
      </w:r>
      <w:r>
        <w:rPr>
          <w:rFonts w:ascii="Arial" w:hAnsi="Arial" w:cs="Arial"/>
        </w:rPr>
        <w:br/>
        <w:t xml:space="preserve">2024г. – 0,6%). </w:t>
      </w: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октября 2024г., по оперативным данным, составила 115717,9 млн рублей. 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октября 2024г., по операти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ным данным, составила 269263,9 млн рублей, из нее просроченная – 5479,9 млн рублей, или 2,0%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октября 2023г. – 4,8%, на конец сентября 2024г. – 2,1%).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Октябрь 2024г.,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782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октябрю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сентябрю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384453,9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115717,9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148,0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268736,0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2422,1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269263,9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5479,9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187412726"/>
      <w:r>
        <w:rPr>
          <w:lang w:val="en-US"/>
        </w:rPr>
        <w:lastRenderedPageBreak/>
        <w:t>VI</w:t>
      </w:r>
      <w:r>
        <w:t>. УРОВЕНЬ ЖИЗНИ НАСЕЛЕНИЯ</w:t>
      </w:r>
      <w:bookmarkEnd w:id="36"/>
      <w:bookmarkEnd w:id="37"/>
      <w:bookmarkEnd w:id="38"/>
      <w:bookmarkEnd w:id="39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октябре 2024г. составила 151358,2 рубля и по сравнению с октябрем 2023г. увеличилась на 15,4%.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152829,4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151197,7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149040,2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144971,6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143367,2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113,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135931,7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132048,9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137126,9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90,2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142312,1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151358,2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112,3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620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Октябрь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169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рю-о</w:t>
            </w: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t>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ластному</w:t>
            </w:r>
            <w:proofErr w:type="spellEnd"/>
            <w:r>
              <w:rPr>
                <w:rFonts w:ascii="Arial" w:hAnsi="Arial" w:cs="Arial"/>
                <w:i/>
              </w:rPr>
              <w:t xml:space="preserve">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151358,2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143215,9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104378,4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175613,9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81781,1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79820,0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85688,0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100082,0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116519,1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226317,5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полезных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227094,0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174258,0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117872,8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129450,8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100931,5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146856,2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41206,7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54363,0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ская и копиров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176116,4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187312,6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 медицинских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102058,5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61100,8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86789,5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103800,6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 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215635,6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174849,4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121551,9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127147,5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93229,8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89965,4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146825,0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141149,8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транспортных средств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105919,6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114429,9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140220,0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138411,3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98287,6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104764,0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189474,8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171358,9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161089,7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123,9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157052,4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79457,3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82783,4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80525,7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79844,9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115926,1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117233,0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159893,8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173492,9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95843,0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89821,1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193067,1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185222,2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135093,9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134767,4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80165,8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87575,3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145539,5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149335,4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106035,5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112253,1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119228,0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129921,6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112622,1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117761,5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видов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74904,9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92362,7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64,5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октябре 2024г. составила 161511,9 рубля. По сравнению с сентябрем 2024г. она увеличилась на 15,2%, </w:t>
      </w:r>
      <w:r>
        <w:rPr>
          <w:rFonts w:ascii="Arial" w:hAnsi="Arial" w:cs="Arial"/>
        </w:rPr>
        <w:br/>
        <w:t xml:space="preserve">с октябрем 2023г. – на 16,3%. </w:t>
      </w:r>
    </w:p>
    <w:p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декабря 2024г. составила 19416,0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рыми имеется просроченная задолженность по заработной плате, составила 12 человек.</w:t>
      </w: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декабря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19416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19103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313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19103</w:t>
            </w:r>
          </w:p>
        </w:tc>
        <w:tc>
          <w:tcPr>
            <w:tcW w:w="951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19103</w:t>
            </w:r>
          </w:p>
        </w:tc>
        <w:tc>
          <w:tcPr>
            <w:tcW w:w="953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87412727"/>
      <w:r>
        <w:rPr>
          <w:lang w:val="en-US"/>
        </w:rPr>
        <w:lastRenderedPageBreak/>
        <w:t>VII</w:t>
      </w:r>
      <w:r>
        <w:t>. ЗАНЯТОСТЬ И БЕЗРАБОТИЦА</w:t>
      </w:r>
      <w:bookmarkEnd w:id="40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октябре 2024г.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55,2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57,4 тыс. человек.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Октябрь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октябрю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57385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98,5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55159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ноября 2024г. в органах службы занятости населения состояли на учете 0,5 тыс. </w:t>
      </w:r>
      <w:r>
        <w:rPr>
          <w:rFonts w:ascii="Arial" w:hAnsi="Arial" w:cs="Arial"/>
        </w:rPr>
        <w:br/>
        <w:t>не занятых трудовой деятельностью граждан, из них 0,4 тыс. человек имели статус безработного, в том числе 0,2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br/>
              <w:t xml:space="preserve">периоду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октябре 2024г. составил 0,5% (в октябре 2023г. – 0,7%).</w:t>
      </w: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187412728"/>
      <w:r>
        <w:rPr>
          <w:lang w:val="en-US"/>
        </w:rPr>
        <w:lastRenderedPageBreak/>
        <w:t>VIII</w:t>
      </w:r>
      <w:r>
        <w:t>. ДЕМОГРАФИЯ</w:t>
      </w:r>
      <w:bookmarkEnd w:id="41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Январь-октябрь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848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942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-94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1408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+66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12,0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</w:rPr>
              <w:t>4,2</w:t>
            </w:r>
            <w:r>
              <w:rPr>
                <w:rFonts w:ascii="Arial" w:hAnsi="Arial" w:cs="Arial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Cs w:val="22"/>
              </w:rPr>
              <w:t>560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733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-120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5,8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widowControl w:val="0"/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690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Январь-октябрь 2024г.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январь-октябрь 2023г.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6239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560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5154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62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+1085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+97</w:t>
            </w:r>
            <w:r>
              <w:rPr>
                <w:rFonts w:ascii="Arial" w:hAnsi="Arial" w:cs="Arial"/>
                <w:lang w:val="en-US"/>
              </w:rPr>
              <w:t>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4453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96,5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-342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1786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+1048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+94,1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1759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726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+1033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+1,3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</w:tr>
    </w:tbl>
    <w:p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(г. Магадан)                                                    И.В.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Январь-ноябрь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Джумова</w:t>
      </w:r>
      <w:proofErr w:type="spellEnd"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14</w:t>
      </w:r>
      <w:r>
        <w:rPr>
          <w:rFonts w:cs="Arial"/>
        </w:rPr>
        <w:t>.</w:t>
      </w:r>
      <w:r>
        <w:rPr>
          <w:rFonts w:cs="Arial"/>
          <w:lang w:val="ru-RU"/>
        </w:rPr>
        <w:t>01</w:t>
      </w:r>
      <w:r>
        <w:rPr>
          <w:rFonts w:cs="Arial"/>
        </w:rPr>
        <w:t>.20</w:t>
      </w:r>
      <w:r>
        <w:rPr>
          <w:rFonts w:cs="Arial"/>
          <w:lang w:val="ru-RU"/>
        </w:rPr>
        <w:t>25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Хабаровскстат</w:t>
      </w:r>
      <w:proofErr w:type="spellEnd"/>
      <w:r>
        <w:rPr>
          <w:rFonts w:ascii="Arial" w:hAnsi="Arial" w:cs="Arial"/>
        </w:rPr>
        <w:t xml:space="preserve">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6C0F-5CA0-4ACA-9CE4-A21E8A33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8360</Words>
  <Characters>47654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55903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2025-01-13T01:42:00Z</cp:lastPrinted>
  <dcterms:created xsi:type="dcterms:W3CDTF">2025-01-13T23:38:00Z</dcterms:created>
  <dcterms:modified xsi:type="dcterms:W3CDTF">2025-01-13T23:38:00Z</dcterms:modified>
</cp:coreProperties>
</file>